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B5BEC" w14:textId="77777777" w:rsidR="003F477C" w:rsidRPr="00706A7A" w:rsidRDefault="003F477C">
      <w:pPr>
        <w:rPr>
          <w:rFonts w:ascii="Cambria" w:hAnsi="Cambria"/>
          <w:sz w:val="52"/>
          <w:szCs w:val="72"/>
        </w:rPr>
      </w:pPr>
    </w:p>
    <w:p w14:paraId="02924441" w14:textId="77777777" w:rsidR="00C0012F" w:rsidRPr="00D05D3A" w:rsidRDefault="00C0012F">
      <w:pPr>
        <w:rPr>
          <w:rFonts w:ascii="Garamond" w:hAnsi="Garamond"/>
          <w:sz w:val="96"/>
          <w:szCs w:val="72"/>
        </w:rPr>
      </w:pPr>
      <w:r w:rsidRPr="00D05D3A">
        <w:rPr>
          <w:rFonts w:ascii="Garamond" w:hAnsi="Garamond"/>
          <w:sz w:val="96"/>
          <w:szCs w:val="72"/>
        </w:rPr>
        <w:t xml:space="preserve">Prison </w:t>
      </w:r>
    </w:p>
    <w:p w14:paraId="40512B15" w14:textId="77777777" w:rsidR="00C0012F" w:rsidRPr="00D05D3A" w:rsidRDefault="00C0012F">
      <w:pPr>
        <w:rPr>
          <w:rFonts w:ascii="Garamond" w:hAnsi="Garamond"/>
          <w:sz w:val="96"/>
          <w:szCs w:val="72"/>
        </w:rPr>
      </w:pPr>
      <w:r w:rsidRPr="00D05D3A">
        <w:rPr>
          <w:rFonts w:ascii="Garamond" w:hAnsi="Garamond"/>
          <w:sz w:val="96"/>
          <w:szCs w:val="72"/>
        </w:rPr>
        <w:t xml:space="preserve">Rape                        </w:t>
      </w:r>
    </w:p>
    <w:p w14:paraId="04EEAAB0" w14:textId="77777777" w:rsidR="00C0012F" w:rsidRPr="00C0012F" w:rsidRDefault="00C0012F">
      <w:pPr>
        <w:rPr>
          <w:rFonts w:ascii="Cambria" w:hAnsi="Cambria"/>
          <w:sz w:val="96"/>
          <w:szCs w:val="96"/>
        </w:rPr>
      </w:pPr>
      <w:r w:rsidRPr="00D05D3A">
        <w:rPr>
          <w:rFonts w:ascii="Garamond" w:hAnsi="Garamond"/>
          <w:sz w:val="96"/>
          <w:szCs w:val="72"/>
        </w:rPr>
        <w:t>Elimination</w:t>
      </w:r>
      <w:r w:rsidRPr="00D05D3A">
        <w:rPr>
          <w:rFonts w:ascii="Cambria" w:hAnsi="Cambria"/>
          <w:sz w:val="96"/>
          <w:szCs w:val="72"/>
        </w:rPr>
        <w:t xml:space="preserve">            </w:t>
      </w:r>
      <w:r w:rsidR="004B16AC">
        <w:rPr>
          <w:rFonts w:ascii="Garamond" w:hAnsi="Garamond"/>
          <w:sz w:val="144"/>
          <w:szCs w:val="96"/>
        </w:rPr>
        <w:t>2024</w:t>
      </w:r>
    </w:p>
    <w:p w14:paraId="5316D530" w14:textId="77777777" w:rsidR="00C0012F" w:rsidRPr="00D05D3A" w:rsidRDefault="00C0012F">
      <w:pPr>
        <w:pBdr>
          <w:bottom w:val="single" w:sz="12" w:space="1" w:color="auto"/>
        </w:pBdr>
        <w:rPr>
          <w:rFonts w:ascii="Garamond" w:hAnsi="Garamond"/>
          <w:sz w:val="96"/>
          <w:szCs w:val="72"/>
        </w:rPr>
      </w:pPr>
      <w:r w:rsidRPr="00D05D3A">
        <w:rPr>
          <w:rFonts w:ascii="Garamond" w:hAnsi="Garamond"/>
          <w:sz w:val="96"/>
          <w:szCs w:val="72"/>
        </w:rPr>
        <w:t>Act</w:t>
      </w:r>
    </w:p>
    <w:p w14:paraId="2DFD7592" w14:textId="77777777" w:rsidR="00CE2069" w:rsidRPr="00706A7A" w:rsidRDefault="00CE2069">
      <w:pPr>
        <w:pBdr>
          <w:bottom w:val="single" w:sz="12" w:space="1" w:color="auto"/>
        </w:pBdr>
        <w:rPr>
          <w:rFonts w:ascii="Cambria" w:hAnsi="Cambria"/>
          <w:sz w:val="52"/>
          <w:szCs w:val="72"/>
        </w:rPr>
      </w:pPr>
    </w:p>
    <w:p w14:paraId="6F94216D" w14:textId="77777777" w:rsidR="00CE2069" w:rsidRDefault="00CE2069">
      <w:pPr>
        <w:rPr>
          <w:rFonts w:ascii="Cambria" w:hAnsi="Cambria"/>
          <w:sz w:val="32"/>
          <w:szCs w:val="32"/>
        </w:rPr>
      </w:pPr>
    </w:p>
    <w:p w14:paraId="20D34610" w14:textId="77777777" w:rsidR="00C0012F" w:rsidRPr="00D05D3A" w:rsidRDefault="00C0012F" w:rsidP="003B1AA3">
      <w:pPr>
        <w:jc w:val="both"/>
        <w:rPr>
          <w:rFonts w:ascii="Garamond" w:hAnsi="Garamond"/>
          <w:sz w:val="32"/>
          <w:szCs w:val="32"/>
        </w:rPr>
      </w:pPr>
      <w:r w:rsidRPr="00D05D3A">
        <w:rPr>
          <w:rFonts w:ascii="Garamond" w:hAnsi="Garamond"/>
          <w:sz w:val="36"/>
          <w:szCs w:val="32"/>
        </w:rPr>
        <w:t xml:space="preserve">This report has been prepared in accordance with </w:t>
      </w:r>
      <w:r w:rsidR="00350AA0">
        <w:rPr>
          <w:rFonts w:ascii="Garamond" w:hAnsi="Garamond"/>
          <w:sz w:val="36"/>
          <w:szCs w:val="32"/>
        </w:rPr>
        <w:t xml:space="preserve">Prison Rape Elimination Act Standard </w:t>
      </w:r>
      <w:r w:rsidRPr="00350AA0">
        <w:rPr>
          <w:rFonts w:ascii="Garamond" w:hAnsi="Garamond"/>
          <w:sz w:val="36"/>
          <w:szCs w:val="32"/>
        </w:rPr>
        <w:t>115.87</w:t>
      </w:r>
      <w:r w:rsidRPr="00D05D3A">
        <w:rPr>
          <w:rFonts w:ascii="Garamond" w:hAnsi="Garamond"/>
          <w:sz w:val="36"/>
          <w:szCs w:val="32"/>
        </w:rPr>
        <w:t xml:space="preserve"> in order to assess and improve the effectiveness of its sexual abuse prevention, detection, response policies and training.  </w:t>
      </w:r>
    </w:p>
    <w:p w14:paraId="6433AA34" w14:textId="77777777" w:rsidR="00C0012F" w:rsidRPr="00D05D3A" w:rsidRDefault="00C0012F">
      <w:pPr>
        <w:rPr>
          <w:rFonts w:ascii="Garamond" w:hAnsi="Garamond"/>
          <w:sz w:val="24"/>
          <w:szCs w:val="32"/>
        </w:rPr>
      </w:pPr>
    </w:p>
    <w:p w14:paraId="2D15774A" w14:textId="77777777" w:rsidR="00C0012F" w:rsidRPr="00FE2428" w:rsidRDefault="00FE2428" w:rsidP="003E4F35">
      <w:pPr>
        <w:spacing w:after="0"/>
        <w:rPr>
          <w:rFonts w:ascii="Garamond" w:hAnsi="Garamond"/>
          <w:b/>
          <w:sz w:val="32"/>
          <w:szCs w:val="24"/>
        </w:rPr>
      </w:pPr>
      <w:r w:rsidRPr="00FE2428">
        <w:rPr>
          <w:rFonts w:ascii="Garamond" w:hAnsi="Garamond"/>
          <w:b/>
          <w:sz w:val="32"/>
          <w:szCs w:val="24"/>
        </w:rPr>
        <w:t>Haylea Grier</w:t>
      </w:r>
    </w:p>
    <w:p w14:paraId="2B8E2907" w14:textId="77777777" w:rsidR="003E4F35" w:rsidRPr="00FE2428" w:rsidRDefault="003E4F35" w:rsidP="003E4F35">
      <w:pPr>
        <w:spacing w:after="0"/>
        <w:rPr>
          <w:rFonts w:ascii="Garamond" w:hAnsi="Garamond"/>
          <w:b/>
          <w:sz w:val="32"/>
          <w:szCs w:val="24"/>
        </w:rPr>
      </w:pPr>
      <w:r w:rsidRPr="00FE2428">
        <w:rPr>
          <w:rFonts w:ascii="Garamond" w:hAnsi="Garamond"/>
          <w:b/>
          <w:sz w:val="32"/>
          <w:szCs w:val="24"/>
        </w:rPr>
        <w:t xml:space="preserve">Sedgwick County </w:t>
      </w:r>
      <w:r w:rsidR="00C24CB8" w:rsidRPr="00FE2428">
        <w:rPr>
          <w:rFonts w:ascii="Garamond" w:hAnsi="Garamond"/>
          <w:b/>
          <w:sz w:val="32"/>
          <w:szCs w:val="24"/>
        </w:rPr>
        <w:t>Department</w:t>
      </w:r>
      <w:r w:rsidRPr="00FE2428">
        <w:rPr>
          <w:rFonts w:ascii="Garamond" w:hAnsi="Garamond"/>
          <w:b/>
          <w:sz w:val="32"/>
          <w:szCs w:val="24"/>
        </w:rPr>
        <w:t xml:space="preserve"> of Corrections</w:t>
      </w:r>
      <w:r w:rsidR="00706A7A" w:rsidRPr="00FE2428">
        <w:rPr>
          <w:rFonts w:ascii="Garamond" w:hAnsi="Garamond"/>
          <w:b/>
          <w:sz w:val="32"/>
          <w:szCs w:val="24"/>
        </w:rPr>
        <w:t xml:space="preserve"> (SCDOC)</w:t>
      </w:r>
    </w:p>
    <w:p w14:paraId="07C8AE8A" w14:textId="77777777" w:rsidR="00C0012F" w:rsidRPr="00D05D3A" w:rsidRDefault="009974EA">
      <w:pPr>
        <w:rPr>
          <w:rFonts w:ascii="Garamond" w:hAnsi="Garamond"/>
          <w:b/>
          <w:sz w:val="32"/>
          <w:szCs w:val="24"/>
        </w:rPr>
      </w:pPr>
      <w:r w:rsidRPr="00FE2428">
        <w:rPr>
          <w:rFonts w:ascii="Garamond" w:hAnsi="Garamond"/>
          <w:b/>
          <w:sz w:val="32"/>
          <w:szCs w:val="24"/>
        </w:rPr>
        <w:t>P</w:t>
      </w:r>
      <w:r w:rsidR="00C0012F" w:rsidRPr="00FE2428">
        <w:rPr>
          <w:rFonts w:ascii="Garamond" w:hAnsi="Garamond"/>
          <w:b/>
          <w:sz w:val="32"/>
          <w:szCs w:val="24"/>
        </w:rPr>
        <w:t>REA Coordinator</w:t>
      </w:r>
    </w:p>
    <w:p w14:paraId="38DC9211" w14:textId="77777777" w:rsidR="00C0012F" w:rsidRPr="006213D1" w:rsidRDefault="003E4F35" w:rsidP="002B1C4F">
      <w:pPr>
        <w:jc w:val="both"/>
        <w:rPr>
          <w:rFonts w:ascii="Times New Roman" w:hAnsi="Times New Roman"/>
          <w:sz w:val="24"/>
          <w:szCs w:val="24"/>
        </w:rPr>
      </w:pPr>
      <w:r w:rsidRPr="006213D1">
        <w:rPr>
          <w:rFonts w:ascii="Times New Roman" w:hAnsi="Times New Roman"/>
          <w:sz w:val="24"/>
          <w:szCs w:val="24"/>
        </w:rPr>
        <w:lastRenderedPageBreak/>
        <w:t>The Prison Rape Elimination Act (PREA) is a federal law that prohibits sexual misconduct in correctional settings such as prison</w:t>
      </w:r>
      <w:r w:rsidR="00BF0CDB" w:rsidRPr="006213D1">
        <w:rPr>
          <w:rFonts w:ascii="Times New Roman" w:hAnsi="Times New Roman"/>
          <w:sz w:val="24"/>
          <w:szCs w:val="24"/>
        </w:rPr>
        <w:t>s</w:t>
      </w:r>
      <w:r w:rsidRPr="006213D1">
        <w:rPr>
          <w:rFonts w:ascii="Times New Roman" w:hAnsi="Times New Roman"/>
          <w:sz w:val="24"/>
          <w:szCs w:val="24"/>
        </w:rPr>
        <w:t>, jails, lockups,</w:t>
      </w:r>
      <w:r w:rsidR="00866305" w:rsidRPr="006213D1">
        <w:rPr>
          <w:rFonts w:ascii="Times New Roman" w:hAnsi="Times New Roman"/>
          <w:sz w:val="24"/>
          <w:szCs w:val="24"/>
        </w:rPr>
        <w:t xml:space="preserve"> community confinements, and</w:t>
      </w:r>
      <w:r w:rsidRPr="006213D1">
        <w:rPr>
          <w:rFonts w:ascii="Times New Roman" w:hAnsi="Times New Roman"/>
          <w:sz w:val="24"/>
          <w:szCs w:val="24"/>
        </w:rPr>
        <w:t xml:space="preserve"> juvenile facilities.  </w:t>
      </w:r>
      <w:r w:rsidR="00CA4900" w:rsidRPr="006213D1">
        <w:rPr>
          <w:rFonts w:ascii="Times New Roman" w:hAnsi="Times New Roman"/>
          <w:sz w:val="24"/>
          <w:szCs w:val="24"/>
        </w:rPr>
        <w:t>Sexual misconduct under the law includes:</w:t>
      </w:r>
    </w:p>
    <w:p w14:paraId="00DC56EB" w14:textId="77777777" w:rsidR="00CA4900" w:rsidRPr="006213D1" w:rsidRDefault="004C4420" w:rsidP="002B1C4F">
      <w:pPr>
        <w:numPr>
          <w:ilvl w:val="0"/>
          <w:numId w:val="1"/>
        </w:numPr>
        <w:spacing w:after="0"/>
        <w:jc w:val="both"/>
        <w:rPr>
          <w:rFonts w:ascii="Times New Roman" w:hAnsi="Times New Roman"/>
          <w:sz w:val="24"/>
          <w:szCs w:val="24"/>
        </w:rPr>
      </w:pPr>
      <w:r w:rsidRPr="006213D1">
        <w:rPr>
          <w:rFonts w:ascii="Times New Roman" w:hAnsi="Times New Roman"/>
          <w:sz w:val="24"/>
          <w:szCs w:val="24"/>
        </w:rPr>
        <w:t>Client–on</w:t>
      </w:r>
      <w:r w:rsidR="00164958" w:rsidRPr="006213D1">
        <w:rPr>
          <w:rFonts w:ascii="Times New Roman" w:hAnsi="Times New Roman"/>
          <w:sz w:val="24"/>
          <w:szCs w:val="24"/>
        </w:rPr>
        <w:t xml:space="preserve">–Client </w:t>
      </w:r>
      <w:r w:rsidR="00CA4900" w:rsidRPr="006213D1">
        <w:rPr>
          <w:rFonts w:ascii="Times New Roman" w:hAnsi="Times New Roman"/>
          <w:sz w:val="24"/>
          <w:szCs w:val="24"/>
        </w:rPr>
        <w:t xml:space="preserve">sexual </w:t>
      </w:r>
      <w:r w:rsidR="00866305" w:rsidRPr="006213D1">
        <w:rPr>
          <w:rFonts w:ascii="Times New Roman" w:hAnsi="Times New Roman"/>
          <w:sz w:val="24"/>
          <w:szCs w:val="24"/>
        </w:rPr>
        <w:t>abuse and sexual harassment</w:t>
      </w:r>
    </w:p>
    <w:p w14:paraId="1FFF2674" w14:textId="77777777" w:rsidR="00CA4900" w:rsidRPr="006213D1" w:rsidRDefault="004C4420" w:rsidP="002B1C4F">
      <w:pPr>
        <w:numPr>
          <w:ilvl w:val="0"/>
          <w:numId w:val="1"/>
        </w:numPr>
        <w:spacing w:after="0"/>
        <w:jc w:val="both"/>
        <w:rPr>
          <w:rFonts w:ascii="Times New Roman" w:hAnsi="Times New Roman"/>
          <w:sz w:val="24"/>
          <w:szCs w:val="24"/>
        </w:rPr>
      </w:pPr>
      <w:r w:rsidRPr="006213D1">
        <w:rPr>
          <w:rFonts w:ascii="Times New Roman" w:hAnsi="Times New Roman"/>
          <w:sz w:val="24"/>
          <w:szCs w:val="24"/>
        </w:rPr>
        <w:t>Staff–on–Client</w:t>
      </w:r>
      <w:r w:rsidR="00CA4900" w:rsidRPr="006213D1">
        <w:rPr>
          <w:rFonts w:ascii="Times New Roman" w:hAnsi="Times New Roman"/>
          <w:sz w:val="24"/>
          <w:szCs w:val="24"/>
        </w:rPr>
        <w:t xml:space="preserve"> sexual </w:t>
      </w:r>
      <w:r w:rsidR="00866305" w:rsidRPr="006213D1">
        <w:rPr>
          <w:rFonts w:ascii="Times New Roman" w:hAnsi="Times New Roman"/>
          <w:sz w:val="24"/>
          <w:szCs w:val="24"/>
        </w:rPr>
        <w:t xml:space="preserve">abuse, sexual harassment and any sexual misconduct (undue familiarity) </w:t>
      </w:r>
    </w:p>
    <w:p w14:paraId="1A72E2A5" w14:textId="77777777" w:rsidR="004C4420" w:rsidRPr="006213D1" w:rsidRDefault="004C4420" w:rsidP="002B1C4F">
      <w:pPr>
        <w:spacing w:after="0"/>
        <w:ind w:left="720"/>
        <w:jc w:val="both"/>
        <w:rPr>
          <w:rFonts w:ascii="Times New Roman" w:hAnsi="Times New Roman"/>
          <w:sz w:val="24"/>
          <w:szCs w:val="24"/>
        </w:rPr>
      </w:pPr>
    </w:p>
    <w:p w14:paraId="446DA341" w14:textId="6204DC71" w:rsidR="00CA4900" w:rsidRPr="006213D1" w:rsidRDefault="00CA4900" w:rsidP="002B1C4F">
      <w:pPr>
        <w:jc w:val="both"/>
        <w:rPr>
          <w:rFonts w:ascii="Times New Roman" w:hAnsi="Times New Roman"/>
          <w:sz w:val="24"/>
          <w:szCs w:val="24"/>
        </w:rPr>
      </w:pPr>
      <w:r w:rsidRPr="006213D1">
        <w:rPr>
          <w:rFonts w:ascii="Times New Roman" w:hAnsi="Times New Roman"/>
          <w:sz w:val="24"/>
          <w:szCs w:val="24"/>
        </w:rPr>
        <w:t xml:space="preserve">Sedgwick County </w:t>
      </w:r>
      <w:r w:rsidR="00A81316" w:rsidRPr="006213D1">
        <w:rPr>
          <w:rFonts w:ascii="Times New Roman" w:hAnsi="Times New Roman"/>
          <w:sz w:val="24"/>
          <w:szCs w:val="24"/>
        </w:rPr>
        <w:t>Department</w:t>
      </w:r>
      <w:r w:rsidRPr="006213D1">
        <w:rPr>
          <w:rFonts w:ascii="Times New Roman" w:hAnsi="Times New Roman"/>
          <w:sz w:val="24"/>
          <w:szCs w:val="24"/>
        </w:rPr>
        <w:t xml:space="preserve"> of Corrections </w:t>
      </w:r>
      <w:r w:rsidR="00825299" w:rsidRPr="006213D1">
        <w:rPr>
          <w:rFonts w:ascii="Times New Roman" w:hAnsi="Times New Roman"/>
          <w:sz w:val="24"/>
          <w:szCs w:val="24"/>
        </w:rPr>
        <w:t xml:space="preserve">(SCDOC) </w:t>
      </w:r>
      <w:r w:rsidR="00CC2DDA" w:rsidRPr="006213D1">
        <w:rPr>
          <w:rFonts w:ascii="Times New Roman" w:hAnsi="Times New Roman"/>
          <w:sz w:val="24"/>
          <w:szCs w:val="24"/>
        </w:rPr>
        <w:t>provides</w:t>
      </w:r>
      <w:r w:rsidRPr="006213D1">
        <w:rPr>
          <w:rFonts w:ascii="Times New Roman" w:hAnsi="Times New Roman"/>
          <w:sz w:val="24"/>
          <w:szCs w:val="24"/>
        </w:rPr>
        <w:t xml:space="preserve"> a safe and healthy environment for staff and </w:t>
      </w:r>
      <w:r w:rsidR="008102CD" w:rsidRPr="006213D1">
        <w:rPr>
          <w:rFonts w:ascii="Times New Roman" w:hAnsi="Times New Roman"/>
          <w:sz w:val="24"/>
          <w:szCs w:val="24"/>
        </w:rPr>
        <w:t>clients</w:t>
      </w:r>
      <w:r w:rsidRPr="006213D1">
        <w:rPr>
          <w:rFonts w:ascii="Times New Roman" w:hAnsi="Times New Roman"/>
          <w:sz w:val="24"/>
          <w:szCs w:val="24"/>
        </w:rPr>
        <w:t xml:space="preserve">.   The </w:t>
      </w:r>
      <w:r w:rsidR="00E258A3" w:rsidRPr="006213D1">
        <w:rPr>
          <w:rFonts w:ascii="Times New Roman" w:hAnsi="Times New Roman"/>
          <w:sz w:val="24"/>
          <w:szCs w:val="24"/>
        </w:rPr>
        <w:t>d</w:t>
      </w:r>
      <w:r w:rsidR="00A81316" w:rsidRPr="006213D1">
        <w:rPr>
          <w:rFonts w:ascii="Times New Roman" w:hAnsi="Times New Roman"/>
          <w:sz w:val="24"/>
          <w:szCs w:val="24"/>
        </w:rPr>
        <w:t>epartment</w:t>
      </w:r>
      <w:r w:rsidRPr="006213D1">
        <w:rPr>
          <w:rFonts w:ascii="Times New Roman" w:hAnsi="Times New Roman"/>
          <w:sz w:val="24"/>
          <w:szCs w:val="24"/>
        </w:rPr>
        <w:t xml:space="preserve"> promptly investigate</w:t>
      </w:r>
      <w:r w:rsidR="00CC2DDA" w:rsidRPr="006213D1">
        <w:rPr>
          <w:rFonts w:ascii="Times New Roman" w:hAnsi="Times New Roman"/>
          <w:sz w:val="24"/>
          <w:szCs w:val="24"/>
        </w:rPr>
        <w:t>s</w:t>
      </w:r>
      <w:r w:rsidRPr="006213D1">
        <w:rPr>
          <w:rFonts w:ascii="Times New Roman" w:hAnsi="Times New Roman"/>
          <w:sz w:val="24"/>
          <w:szCs w:val="24"/>
        </w:rPr>
        <w:t xml:space="preserve"> and enfo</w:t>
      </w:r>
      <w:r w:rsidR="004A4A3D" w:rsidRPr="006213D1">
        <w:rPr>
          <w:rFonts w:ascii="Times New Roman" w:hAnsi="Times New Roman"/>
          <w:sz w:val="24"/>
          <w:szCs w:val="24"/>
        </w:rPr>
        <w:t>rce</w:t>
      </w:r>
      <w:r w:rsidR="00CC2DDA" w:rsidRPr="006213D1">
        <w:rPr>
          <w:rFonts w:ascii="Times New Roman" w:hAnsi="Times New Roman"/>
          <w:sz w:val="24"/>
          <w:szCs w:val="24"/>
        </w:rPr>
        <w:t>s</w:t>
      </w:r>
      <w:r w:rsidR="004A4A3D" w:rsidRPr="006213D1">
        <w:rPr>
          <w:rFonts w:ascii="Times New Roman" w:hAnsi="Times New Roman"/>
          <w:sz w:val="24"/>
          <w:szCs w:val="24"/>
        </w:rPr>
        <w:t xml:space="preserve"> laws and policies of “zero t</w:t>
      </w:r>
      <w:r w:rsidRPr="006213D1">
        <w:rPr>
          <w:rFonts w:ascii="Times New Roman" w:hAnsi="Times New Roman"/>
          <w:sz w:val="24"/>
          <w:szCs w:val="24"/>
        </w:rPr>
        <w:t xml:space="preserve">olerance” relating to illegal </w:t>
      </w:r>
      <w:r w:rsidR="008102CD" w:rsidRPr="006213D1">
        <w:rPr>
          <w:rFonts w:ascii="Times New Roman" w:hAnsi="Times New Roman"/>
          <w:sz w:val="24"/>
          <w:szCs w:val="24"/>
        </w:rPr>
        <w:t xml:space="preserve">sexual </w:t>
      </w:r>
      <w:r w:rsidRPr="006213D1">
        <w:rPr>
          <w:rFonts w:ascii="Times New Roman" w:hAnsi="Times New Roman"/>
          <w:sz w:val="24"/>
          <w:szCs w:val="24"/>
        </w:rPr>
        <w:t xml:space="preserve">acts, </w:t>
      </w:r>
      <w:r w:rsidR="00BF0CDB" w:rsidRPr="006213D1">
        <w:rPr>
          <w:rFonts w:ascii="Times New Roman" w:hAnsi="Times New Roman"/>
          <w:sz w:val="24"/>
          <w:szCs w:val="24"/>
        </w:rPr>
        <w:t xml:space="preserve">sexual </w:t>
      </w:r>
      <w:r w:rsidRPr="006213D1">
        <w:rPr>
          <w:rFonts w:ascii="Times New Roman" w:hAnsi="Times New Roman"/>
          <w:sz w:val="24"/>
          <w:szCs w:val="24"/>
        </w:rPr>
        <w:t>harass</w:t>
      </w:r>
      <w:r w:rsidR="00BF0CDB" w:rsidRPr="006213D1">
        <w:rPr>
          <w:rFonts w:ascii="Times New Roman" w:hAnsi="Times New Roman"/>
          <w:sz w:val="24"/>
          <w:szCs w:val="24"/>
        </w:rPr>
        <w:t>ment</w:t>
      </w:r>
      <w:r w:rsidR="00E258A3" w:rsidRPr="006213D1">
        <w:rPr>
          <w:rFonts w:ascii="Times New Roman" w:hAnsi="Times New Roman"/>
          <w:sz w:val="24"/>
          <w:szCs w:val="24"/>
        </w:rPr>
        <w:t xml:space="preserve">, sexual abuse </w:t>
      </w:r>
      <w:r w:rsidR="00BF0CDB" w:rsidRPr="006213D1">
        <w:rPr>
          <w:rFonts w:ascii="Times New Roman" w:hAnsi="Times New Roman"/>
          <w:sz w:val="24"/>
          <w:szCs w:val="24"/>
        </w:rPr>
        <w:t>or</w:t>
      </w:r>
      <w:r w:rsidR="004A4A3D" w:rsidRPr="006213D1">
        <w:rPr>
          <w:rFonts w:ascii="Times New Roman" w:hAnsi="Times New Roman"/>
          <w:sz w:val="24"/>
          <w:szCs w:val="24"/>
        </w:rPr>
        <w:t xml:space="preserve"> misconduct in</w:t>
      </w:r>
      <w:r w:rsidR="008102CD" w:rsidRPr="006213D1">
        <w:rPr>
          <w:rFonts w:ascii="Times New Roman" w:hAnsi="Times New Roman"/>
          <w:sz w:val="24"/>
          <w:szCs w:val="24"/>
        </w:rPr>
        <w:t xml:space="preserve"> a</w:t>
      </w:r>
      <w:r w:rsidR="00E258A3" w:rsidRPr="006213D1">
        <w:rPr>
          <w:rFonts w:ascii="Times New Roman" w:hAnsi="Times New Roman"/>
          <w:sz w:val="24"/>
          <w:szCs w:val="24"/>
        </w:rPr>
        <w:t>ll</w:t>
      </w:r>
      <w:r w:rsidR="008102CD" w:rsidRPr="006213D1">
        <w:rPr>
          <w:rFonts w:ascii="Times New Roman" w:hAnsi="Times New Roman"/>
          <w:sz w:val="24"/>
          <w:szCs w:val="24"/>
        </w:rPr>
        <w:t xml:space="preserve"> of</w:t>
      </w:r>
      <w:r w:rsidR="004A4A3D" w:rsidRPr="006213D1">
        <w:rPr>
          <w:rFonts w:ascii="Times New Roman" w:hAnsi="Times New Roman"/>
          <w:sz w:val="24"/>
          <w:szCs w:val="24"/>
        </w:rPr>
        <w:t xml:space="preserve"> </w:t>
      </w:r>
      <w:r w:rsidRPr="006213D1">
        <w:rPr>
          <w:rFonts w:ascii="Times New Roman" w:hAnsi="Times New Roman"/>
          <w:sz w:val="24"/>
          <w:szCs w:val="24"/>
        </w:rPr>
        <w:t>its facilitie</w:t>
      </w:r>
      <w:r w:rsidR="00044A2B" w:rsidRPr="006213D1">
        <w:rPr>
          <w:rFonts w:ascii="Times New Roman" w:hAnsi="Times New Roman"/>
          <w:sz w:val="24"/>
          <w:szCs w:val="24"/>
        </w:rPr>
        <w:t xml:space="preserve">s.  The </w:t>
      </w:r>
      <w:r w:rsidR="00E258A3" w:rsidRPr="006213D1">
        <w:rPr>
          <w:rFonts w:ascii="Times New Roman" w:hAnsi="Times New Roman"/>
          <w:sz w:val="24"/>
          <w:szCs w:val="24"/>
        </w:rPr>
        <w:t>d</w:t>
      </w:r>
      <w:r w:rsidR="00A81316" w:rsidRPr="006213D1">
        <w:rPr>
          <w:rFonts w:ascii="Times New Roman" w:hAnsi="Times New Roman"/>
          <w:sz w:val="24"/>
          <w:szCs w:val="24"/>
        </w:rPr>
        <w:t>epartment</w:t>
      </w:r>
      <w:r w:rsidR="00044A2B" w:rsidRPr="006213D1">
        <w:rPr>
          <w:rFonts w:ascii="Times New Roman" w:hAnsi="Times New Roman"/>
          <w:sz w:val="24"/>
          <w:szCs w:val="24"/>
        </w:rPr>
        <w:t xml:space="preserve"> </w:t>
      </w:r>
      <w:r w:rsidRPr="006213D1">
        <w:rPr>
          <w:rFonts w:ascii="Times New Roman" w:hAnsi="Times New Roman"/>
          <w:sz w:val="24"/>
          <w:szCs w:val="24"/>
        </w:rPr>
        <w:t>provide</w:t>
      </w:r>
      <w:r w:rsidR="00044A2B" w:rsidRPr="006213D1">
        <w:rPr>
          <w:rFonts w:ascii="Times New Roman" w:hAnsi="Times New Roman"/>
          <w:sz w:val="24"/>
          <w:szCs w:val="24"/>
        </w:rPr>
        <w:t>s</w:t>
      </w:r>
      <w:r w:rsidRPr="006213D1">
        <w:rPr>
          <w:rFonts w:ascii="Times New Roman" w:hAnsi="Times New Roman"/>
          <w:sz w:val="24"/>
          <w:szCs w:val="24"/>
        </w:rPr>
        <w:t xml:space="preserve"> </w:t>
      </w:r>
      <w:r w:rsidR="004A4A3D" w:rsidRPr="006213D1">
        <w:rPr>
          <w:rFonts w:ascii="Times New Roman" w:hAnsi="Times New Roman"/>
          <w:sz w:val="24"/>
          <w:szCs w:val="24"/>
        </w:rPr>
        <w:t xml:space="preserve">a </w:t>
      </w:r>
      <w:r w:rsidRPr="006213D1">
        <w:rPr>
          <w:rFonts w:ascii="Times New Roman" w:hAnsi="Times New Roman"/>
          <w:sz w:val="24"/>
          <w:szCs w:val="24"/>
        </w:rPr>
        <w:t xml:space="preserve">comprehensive </w:t>
      </w:r>
      <w:r w:rsidR="00350AA0" w:rsidRPr="006213D1">
        <w:rPr>
          <w:rFonts w:ascii="Times New Roman" w:hAnsi="Times New Roman"/>
          <w:sz w:val="24"/>
          <w:szCs w:val="24"/>
        </w:rPr>
        <w:t>PREA</w:t>
      </w:r>
      <w:r w:rsidRPr="006213D1">
        <w:rPr>
          <w:rFonts w:ascii="Times New Roman" w:hAnsi="Times New Roman"/>
          <w:sz w:val="24"/>
          <w:szCs w:val="24"/>
        </w:rPr>
        <w:t xml:space="preserve"> preventi</w:t>
      </w:r>
      <w:r w:rsidR="004A4A3D" w:rsidRPr="006213D1">
        <w:rPr>
          <w:rFonts w:ascii="Times New Roman" w:hAnsi="Times New Roman"/>
          <w:sz w:val="24"/>
          <w:szCs w:val="24"/>
        </w:rPr>
        <w:t xml:space="preserve">on and intervention program </w:t>
      </w:r>
      <w:r w:rsidR="00E0428D" w:rsidRPr="006213D1">
        <w:rPr>
          <w:rFonts w:ascii="Times New Roman" w:hAnsi="Times New Roman"/>
          <w:sz w:val="24"/>
          <w:szCs w:val="24"/>
        </w:rPr>
        <w:t>which</w:t>
      </w:r>
      <w:r w:rsidR="00B75366" w:rsidRPr="006213D1">
        <w:rPr>
          <w:rFonts w:ascii="Times New Roman" w:hAnsi="Times New Roman"/>
          <w:sz w:val="24"/>
          <w:szCs w:val="24"/>
        </w:rPr>
        <w:t xml:space="preserve"> </w:t>
      </w:r>
      <w:r w:rsidRPr="006213D1">
        <w:rPr>
          <w:rFonts w:ascii="Times New Roman" w:hAnsi="Times New Roman"/>
          <w:sz w:val="24"/>
          <w:szCs w:val="24"/>
        </w:rPr>
        <w:t>includes</w:t>
      </w:r>
      <w:r w:rsidR="00E0428D" w:rsidRPr="006213D1">
        <w:rPr>
          <w:rFonts w:ascii="Times New Roman" w:hAnsi="Times New Roman"/>
          <w:sz w:val="24"/>
          <w:szCs w:val="24"/>
        </w:rPr>
        <w:t>:</w:t>
      </w:r>
      <w:r w:rsidRPr="006213D1">
        <w:rPr>
          <w:rFonts w:ascii="Times New Roman" w:hAnsi="Times New Roman"/>
          <w:sz w:val="24"/>
          <w:szCs w:val="24"/>
        </w:rPr>
        <w:t xml:space="preserve"> education, prevention, prompt intervention and discipline/prosecution of assailants and appropriate treatment for victims.</w:t>
      </w:r>
      <w:r w:rsidR="008102CD" w:rsidRPr="006213D1">
        <w:rPr>
          <w:rFonts w:ascii="Times New Roman" w:hAnsi="Times New Roman"/>
          <w:sz w:val="24"/>
          <w:szCs w:val="24"/>
        </w:rPr>
        <w:t xml:space="preserve">  The department refers all allegations of a criminal nature to the Sedgwick County Sheriff’s Office. </w:t>
      </w:r>
    </w:p>
    <w:p w14:paraId="3D1CC580" w14:textId="77777777" w:rsidR="00CA4900" w:rsidRPr="006213D1" w:rsidRDefault="00977954" w:rsidP="002B1C4F">
      <w:pPr>
        <w:jc w:val="both"/>
        <w:rPr>
          <w:rFonts w:ascii="Times New Roman" w:hAnsi="Times New Roman"/>
          <w:sz w:val="24"/>
          <w:szCs w:val="24"/>
        </w:rPr>
      </w:pPr>
      <w:r w:rsidRPr="006213D1">
        <w:rPr>
          <w:rFonts w:ascii="Times New Roman" w:hAnsi="Times New Roman"/>
          <w:sz w:val="24"/>
          <w:szCs w:val="24"/>
        </w:rPr>
        <w:t>This report will summarize</w:t>
      </w:r>
      <w:r w:rsidR="00CA4900" w:rsidRPr="006213D1">
        <w:rPr>
          <w:rFonts w:ascii="Times New Roman" w:hAnsi="Times New Roman"/>
          <w:sz w:val="24"/>
          <w:szCs w:val="24"/>
        </w:rPr>
        <w:t xml:space="preserve"> the effort</w:t>
      </w:r>
      <w:r w:rsidRPr="006213D1">
        <w:rPr>
          <w:rFonts w:ascii="Times New Roman" w:hAnsi="Times New Roman"/>
          <w:sz w:val="24"/>
          <w:szCs w:val="24"/>
        </w:rPr>
        <w:t>s</w:t>
      </w:r>
      <w:r w:rsidR="00CA4900" w:rsidRPr="006213D1">
        <w:rPr>
          <w:rFonts w:ascii="Times New Roman" w:hAnsi="Times New Roman"/>
          <w:sz w:val="24"/>
          <w:szCs w:val="24"/>
        </w:rPr>
        <w:t xml:space="preserve"> by the</w:t>
      </w:r>
      <w:r w:rsidR="00350AA0" w:rsidRPr="006213D1">
        <w:rPr>
          <w:rFonts w:ascii="Times New Roman" w:hAnsi="Times New Roman"/>
          <w:sz w:val="24"/>
          <w:szCs w:val="24"/>
        </w:rPr>
        <w:t xml:space="preserve"> SCDOC</w:t>
      </w:r>
      <w:r w:rsidR="00CA4900" w:rsidRPr="006213D1">
        <w:rPr>
          <w:rFonts w:ascii="Times New Roman" w:hAnsi="Times New Roman"/>
          <w:sz w:val="24"/>
          <w:szCs w:val="24"/>
        </w:rPr>
        <w:t xml:space="preserve"> to achieve compliance with the federal standards of </w:t>
      </w:r>
      <w:r w:rsidR="00350AA0" w:rsidRPr="006213D1">
        <w:rPr>
          <w:rFonts w:ascii="Times New Roman" w:hAnsi="Times New Roman"/>
          <w:sz w:val="24"/>
          <w:szCs w:val="24"/>
        </w:rPr>
        <w:t xml:space="preserve">PREA. </w:t>
      </w:r>
      <w:r w:rsidR="00CA4900" w:rsidRPr="006213D1">
        <w:rPr>
          <w:rFonts w:ascii="Times New Roman" w:hAnsi="Times New Roman"/>
          <w:sz w:val="24"/>
          <w:szCs w:val="24"/>
        </w:rPr>
        <w:t xml:space="preserve"> </w:t>
      </w:r>
    </w:p>
    <w:p w14:paraId="13D1893C" w14:textId="77777777" w:rsidR="00977954" w:rsidRPr="006213D1" w:rsidRDefault="00E157B8" w:rsidP="002B1C4F">
      <w:pPr>
        <w:jc w:val="both"/>
        <w:rPr>
          <w:rFonts w:ascii="Times New Roman" w:hAnsi="Times New Roman"/>
          <w:b/>
          <w:sz w:val="24"/>
          <w:szCs w:val="24"/>
        </w:rPr>
      </w:pPr>
      <w:r w:rsidRPr="006213D1">
        <w:rPr>
          <w:rFonts w:ascii="Times New Roman" w:hAnsi="Times New Roman"/>
          <w:b/>
          <w:sz w:val="24"/>
          <w:szCs w:val="24"/>
        </w:rPr>
        <w:t>Definitions:</w:t>
      </w:r>
    </w:p>
    <w:p w14:paraId="688A6C15" w14:textId="77777777" w:rsidR="00E157B8" w:rsidRPr="006213D1" w:rsidRDefault="00BF0CDB" w:rsidP="002B1C4F">
      <w:pPr>
        <w:jc w:val="both"/>
        <w:rPr>
          <w:rFonts w:ascii="Times New Roman" w:hAnsi="Times New Roman"/>
          <w:sz w:val="24"/>
          <w:szCs w:val="24"/>
        </w:rPr>
      </w:pPr>
      <w:r w:rsidRPr="006213D1">
        <w:rPr>
          <w:rFonts w:ascii="Times New Roman" w:hAnsi="Times New Roman"/>
          <w:b/>
          <w:sz w:val="24"/>
          <w:szCs w:val="24"/>
        </w:rPr>
        <w:t>Substantiated</w:t>
      </w:r>
      <w:r w:rsidRPr="006213D1">
        <w:rPr>
          <w:rFonts w:ascii="Times New Roman" w:hAnsi="Times New Roman"/>
          <w:sz w:val="24"/>
          <w:szCs w:val="24"/>
        </w:rPr>
        <w:t xml:space="preserve"> – </w:t>
      </w:r>
      <w:r w:rsidR="00E157B8" w:rsidRPr="006213D1">
        <w:rPr>
          <w:rFonts w:ascii="Times New Roman" w:hAnsi="Times New Roman"/>
          <w:sz w:val="24"/>
          <w:szCs w:val="24"/>
        </w:rPr>
        <w:t>An allegation was investigated and determined to have occurred.</w:t>
      </w:r>
    </w:p>
    <w:p w14:paraId="21613EB1" w14:textId="77777777" w:rsidR="00BF0CDB" w:rsidRPr="006213D1" w:rsidRDefault="00BF0CDB" w:rsidP="002B1C4F">
      <w:pPr>
        <w:jc w:val="both"/>
        <w:rPr>
          <w:rFonts w:ascii="Times New Roman" w:hAnsi="Times New Roman"/>
          <w:sz w:val="24"/>
          <w:szCs w:val="24"/>
        </w:rPr>
      </w:pPr>
      <w:r w:rsidRPr="006213D1">
        <w:rPr>
          <w:rFonts w:ascii="Times New Roman" w:hAnsi="Times New Roman"/>
          <w:b/>
          <w:sz w:val="24"/>
          <w:szCs w:val="24"/>
        </w:rPr>
        <w:t>Undue Familiarity</w:t>
      </w:r>
      <w:r w:rsidRPr="006213D1">
        <w:rPr>
          <w:rFonts w:ascii="Times New Roman" w:hAnsi="Times New Roman"/>
          <w:sz w:val="24"/>
          <w:szCs w:val="24"/>
        </w:rPr>
        <w:t xml:space="preserve"> – Conversations, personal or business dealings between a staff </w:t>
      </w:r>
      <w:r w:rsidR="00164958" w:rsidRPr="006213D1">
        <w:rPr>
          <w:rFonts w:ascii="Times New Roman" w:hAnsi="Times New Roman"/>
          <w:sz w:val="24"/>
          <w:szCs w:val="24"/>
        </w:rPr>
        <w:t xml:space="preserve">member </w:t>
      </w:r>
      <w:r w:rsidRPr="006213D1">
        <w:rPr>
          <w:rFonts w:ascii="Times New Roman" w:hAnsi="Times New Roman"/>
          <w:sz w:val="24"/>
          <w:szCs w:val="24"/>
        </w:rPr>
        <w:t xml:space="preserve">and a client </w:t>
      </w:r>
      <w:r w:rsidR="00E0428D" w:rsidRPr="006213D1">
        <w:rPr>
          <w:rFonts w:ascii="Times New Roman" w:hAnsi="Times New Roman"/>
          <w:sz w:val="24"/>
          <w:szCs w:val="24"/>
        </w:rPr>
        <w:t>which</w:t>
      </w:r>
      <w:r w:rsidRPr="006213D1">
        <w:rPr>
          <w:rFonts w:ascii="Times New Roman" w:hAnsi="Times New Roman"/>
          <w:sz w:val="24"/>
          <w:szCs w:val="24"/>
        </w:rPr>
        <w:t xml:space="preserve"> is unnecessary, not a part of the staff</w:t>
      </w:r>
      <w:r w:rsidR="00164958" w:rsidRPr="006213D1">
        <w:rPr>
          <w:rFonts w:ascii="Times New Roman" w:hAnsi="Times New Roman"/>
          <w:sz w:val="24"/>
          <w:szCs w:val="24"/>
        </w:rPr>
        <w:t xml:space="preserve"> member</w:t>
      </w:r>
      <w:r w:rsidRPr="006213D1">
        <w:rPr>
          <w:rFonts w:ascii="Times New Roman" w:hAnsi="Times New Roman"/>
          <w:sz w:val="24"/>
          <w:szCs w:val="24"/>
        </w:rPr>
        <w:t>’s duties and related to a personal relationship or purpose rather than a legitimate correctional purpose.  Undue familiarity includes horseplay, betting, trading, dealing, socializing, family contact unrelated to the staff’s duties, sharing or giving food, delivering or intending to deliver contraband, personal conversation, exchanging correspondence, including social networking via the internet.  It also includes conversation or correspondence that demonstrates or suggests a romantic or intimate relationship between a client and the staff, sexual misconduct, or in any other manner developing a relationship with a client.</w:t>
      </w:r>
    </w:p>
    <w:p w14:paraId="2AAED6B5" w14:textId="77777777" w:rsidR="00E157B8" w:rsidRPr="006213D1" w:rsidRDefault="00E157B8" w:rsidP="002B1C4F">
      <w:pPr>
        <w:jc w:val="both"/>
        <w:rPr>
          <w:rFonts w:ascii="Times New Roman" w:hAnsi="Times New Roman"/>
          <w:sz w:val="24"/>
          <w:szCs w:val="24"/>
        </w:rPr>
      </w:pPr>
      <w:r w:rsidRPr="006213D1">
        <w:rPr>
          <w:rFonts w:ascii="Times New Roman" w:hAnsi="Times New Roman"/>
          <w:b/>
          <w:sz w:val="24"/>
          <w:szCs w:val="24"/>
        </w:rPr>
        <w:t>Unsubstantiated</w:t>
      </w:r>
      <w:r w:rsidRPr="006213D1">
        <w:rPr>
          <w:rFonts w:ascii="Times New Roman" w:hAnsi="Times New Roman"/>
          <w:sz w:val="24"/>
          <w:szCs w:val="24"/>
        </w:rPr>
        <w:t xml:space="preserve"> – An allegation was investigated and the investigation produced insufficient evidence to make a final determination as to whether or not the event occurred.</w:t>
      </w:r>
    </w:p>
    <w:p w14:paraId="106F9F65" w14:textId="77777777" w:rsidR="00E157B8" w:rsidRPr="006213D1" w:rsidRDefault="00E157B8" w:rsidP="002B1C4F">
      <w:pPr>
        <w:jc w:val="both"/>
        <w:rPr>
          <w:rFonts w:ascii="Times New Roman" w:hAnsi="Times New Roman"/>
          <w:sz w:val="24"/>
          <w:szCs w:val="24"/>
        </w:rPr>
      </w:pPr>
      <w:r w:rsidRPr="006213D1">
        <w:rPr>
          <w:rFonts w:ascii="Times New Roman" w:hAnsi="Times New Roman"/>
          <w:b/>
          <w:sz w:val="24"/>
          <w:szCs w:val="24"/>
        </w:rPr>
        <w:t>Unfounded</w:t>
      </w:r>
      <w:r w:rsidRPr="006213D1">
        <w:rPr>
          <w:rFonts w:ascii="Times New Roman" w:hAnsi="Times New Roman"/>
          <w:sz w:val="24"/>
          <w:szCs w:val="24"/>
        </w:rPr>
        <w:t xml:space="preserve"> – An allegation was investigated and determined not to have occurred.</w:t>
      </w:r>
    </w:p>
    <w:p w14:paraId="25429DAA" w14:textId="77777777" w:rsidR="00BF0CDB" w:rsidRPr="006213D1" w:rsidRDefault="00BF0CDB" w:rsidP="00392248">
      <w:pPr>
        <w:spacing w:after="0" w:line="360" w:lineRule="auto"/>
        <w:rPr>
          <w:rFonts w:ascii="Times New Roman" w:hAnsi="Times New Roman"/>
          <w:b/>
          <w:sz w:val="24"/>
          <w:szCs w:val="24"/>
        </w:rPr>
      </w:pPr>
      <w:r w:rsidRPr="006213D1">
        <w:rPr>
          <w:rFonts w:ascii="Times New Roman" w:hAnsi="Times New Roman"/>
          <w:b/>
          <w:sz w:val="24"/>
          <w:szCs w:val="24"/>
        </w:rPr>
        <w:br w:type="page"/>
      </w:r>
    </w:p>
    <w:p w14:paraId="07A7508A" w14:textId="77777777" w:rsidR="00977954" w:rsidRPr="006213D1" w:rsidRDefault="00977954" w:rsidP="002B1C4F">
      <w:pPr>
        <w:jc w:val="both"/>
        <w:rPr>
          <w:rFonts w:ascii="Times New Roman" w:hAnsi="Times New Roman"/>
          <w:b/>
          <w:sz w:val="24"/>
          <w:szCs w:val="24"/>
        </w:rPr>
      </w:pPr>
      <w:r w:rsidRPr="006213D1">
        <w:rPr>
          <w:rFonts w:ascii="Times New Roman" w:hAnsi="Times New Roman"/>
          <w:b/>
          <w:sz w:val="24"/>
          <w:szCs w:val="24"/>
        </w:rPr>
        <w:lastRenderedPageBreak/>
        <w:t>Policy Development</w:t>
      </w:r>
    </w:p>
    <w:p w14:paraId="38C96013" w14:textId="77777777" w:rsidR="00884C41" w:rsidRPr="006213D1" w:rsidRDefault="00977954" w:rsidP="002B1C4F">
      <w:pPr>
        <w:jc w:val="both"/>
        <w:rPr>
          <w:rFonts w:ascii="Times New Roman" w:hAnsi="Times New Roman"/>
          <w:sz w:val="24"/>
          <w:szCs w:val="24"/>
        </w:rPr>
      </w:pPr>
      <w:r w:rsidRPr="006213D1">
        <w:rPr>
          <w:rFonts w:ascii="Times New Roman" w:hAnsi="Times New Roman"/>
          <w:sz w:val="24"/>
          <w:szCs w:val="24"/>
        </w:rPr>
        <w:t>SCDOC has enacted several new policies, specifically related to PREA</w:t>
      </w:r>
      <w:r w:rsidR="00326EF0" w:rsidRPr="006213D1">
        <w:rPr>
          <w:rFonts w:ascii="Times New Roman" w:hAnsi="Times New Roman"/>
          <w:sz w:val="24"/>
          <w:szCs w:val="24"/>
        </w:rPr>
        <w:t xml:space="preserve">, over the last </w:t>
      </w:r>
      <w:r w:rsidR="007A29CE" w:rsidRPr="006213D1">
        <w:rPr>
          <w:rFonts w:ascii="Times New Roman" w:hAnsi="Times New Roman"/>
          <w:sz w:val="24"/>
          <w:szCs w:val="24"/>
        </w:rPr>
        <w:t>ten</w:t>
      </w:r>
      <w:r w:rsidR="00326EF0" w:rsidRPr="006213D1">
        <w:rPr>
          <w:rFonts w:ascii="Times New Roman" w:hAnsi="Times New Roman"/>
          <w:sz w:val="24"/>
          <w:szCs w:val="24"/>
        </w:rPr>
        <w:t xml:space="preserve"> years</w:t>
      </w:r>
      <w:r w:rsidRPr="006213D1">
        <w:rPr>
          <w:rFonts w:ascii="Times New Roman" w:hAnsi="Times New Roman"/>
          <w:sz w:val="24"/>
          <w:szCs w:val="24"/>
        </w:rPr>
        <w:t>.  In addition to the new policies</w:t>
      </w:r>
      <w:r w:rsidR="00E0428D" w:rsidRPr="006213D1">
        <w:rPr>
          <w:rFonts w:ascii="Times New Roman" w:hAnsi="Times New Roman"/>
          <w:sz w:val="24"/>
          <w:szCs w:val="24"/>
        </w:rPr>
        <w:t>;</w:t>
      </w:r>
      <w:r w:rsidRPr="006213D1">
        <w:rPr>
          <w:rFonts w:ascii="Times New Roman" w:hAnsi="Times New Roman"/>
          <w:sz w:val="24"/>
          <w:szCs w:val="24"/>
        </w:rPr>
        <w:t xml:space="preserve"> several existing policies have been updated</w:t>
      </w:r>
      <w:r w:rsidR="00B732F6" w:rsidRPr="006213D1">
        <w:rPr>
          <w:rFonts w:ascii="Times New Roman" w:hAnsi="Times New Roman"/>
          <w:sz w:val="24"/>
          <w:szCs w:val="24"/>
        </w:rPr>
        <w:t xml:space="preserve"> to enhance, prevent and eliminate sexual misconduct</w:t>
      </w:r>
      <w:r w:rsidR="007F513C" w:rsidRPr="006213D1">
        <w:rPr>
          <w:rFonts w:ascii="Times New Roman" w:hAnsi="Times New Roman"/>
          <w:sz w:val="24"/>
          <w:szCs w:val="24"/>
        </w:rPr>
        <w:t>.  The PREA policies</w:t>
      </w:r>
      <w:r w:rsidRPr="006213D1">
        <w:rPr>
          <w:rFonts w:ascii="Times New Roman" w:hAnsi="Times New Roman"/>
          <w:sz w:val="24"/>
          <w:szCs w:val="24"/>
        </w:rPr>
        <w:t xml:space="preserve"> are located on the </w:t>
      </w:r>
      <w:r w:rsidR="00A81316" w:rsidRPr="006213D1">
        <w:rPr>
          <w:rFonts w:ascii="Times New Roman" w:hAnsi="Times New Roman"/>
          <w:sz w:val="24"/>
          <w:szCs w:val="24"/>
        </w:rPr>
        <w:t>Department</w:t>
      </w:r>
      <w:r w:rsidR="00C51A97" w:rsidRPr="006213D1">
        <w:rPr>
          <w:rFonts w:ascii="Times New Roman" w:hAnsi="Times New Roman"/>
          <w:sz w:val="24"/>
          <w:szCs w:val="24"/>
        </w:rPr>
        <w:t xml:space="preserve"> of Corrections intranet </w:t>
      </w:r>
      <w:r w:rsidRPr="006213D1">
        <w:rPr>
          <w:rFonts w:ascii="Times New Roman" w:hAnsi="Times New Roman"/>
          <w:sz w:val="24"/>
          <w:szCs w:val="24"/>
        </w:rPr>
        <w:t>site unde</w:t>
      </w:r>
      <w:r w:rsidR="007F513C" w:rsidRPr="006213D1">
        <w:rPr>
          <w:rFonts w:ascii="Times New Roman" w:hAnsi="Times New Roman"/>
          <w:sz w:val="24"/>
          <w:szCs w:val="24"/>
        </w:rPr>
        <w:t xml:space="preserve">r SCDOC Administrative </w:t>
      </w:r>
      <w:r w:rsidR="001B5708" w:rsidRPr="006213D1">
        <w:rPr>
          <w:rFonts w:ascii="Times New Roman" w:hAnsi="Times New Roman"/>
          <w:sz w:val="24"/>
          <w:szCs w:val="24"/>
        </w:rPr>
        <w:t>policies;</w:t>
      </w:r>
      <w:r w:rsidR="007F513C" w:rsidRPr="006213D1">
        <w:rPr>
          <w:rFonts w:ascii="Times New Roman" w:hAnsi="Times New Roman"/>
          <w:sz w:val="24"/>
          <w:szCs w:val="24"/>
        </w:rPr>
        <w:t xml:space="preserve"> however</w:t>
      </w:r>
      <w:r w:rsidR="00B75366" w:rsidRPr="006213D1">
        <w:rPr>
          <w:rFonts w:ascii="Times New Roman" w:hAnsi="Times New Roman"/>
          <w:sz w:val="24"/>
          <w:szCs w:val="24"/>
        </w:rPr>
        <w:t>,</w:t>
      </w:r>
      <w:r w:rsidR="007F513C" w:rsidRPr="006213D1">
        <w:rPr>
          <w:rFonts w:ascii="Times New Roman" w:hAnsi="Times New Roman"/>
          <w:sz w:val="24"/>
          <w:szCs w:val="24"/>
        </w:rPr>
        <w:t xml:space="preserve"> specific program policies are available upon request.</w:t>
      </w:r>
    </w:p>
    <w:p w14:paraId="20779D9C" w14:textId="77777777" w:rsidR="000F618F" w:rsidRPr="006213D1" w:rsidRDefault="000F618F" w:rsidP="002B1C4F">
      <w:pPr>
        <w:pStyle w:val="ListParagraph"/>
        <w:numPr>
          <w:ilvl w:val="0"/>
          <w:numId w:val="12"/>
        </w:numPr>
        <w:jc w:val="both"/>
        <w:rPr>
          <w:rFonts w:ascii="Times New Roman" w:hAnsi="Times New Roman"/>
          <w:sz w:val="24"/>
          <w:szCs w:val="24"/>
        </w:rPr>
      </w:pPr>
      <w:r w:rsidRPr="006213D1">
        <w:rPr>
          <w:rFonts w:ascii="Times New Roman" w:hAnsi="Times New Roman"/>
          <w:sz w:val="24"/>
          <w:szCs w:val="24"/>
        </w:rPr>
        <w:t>The following policies were r</w:t>
      </w:r>
      <w:r w:rsidR="008E2B87" w:rsidRPr="006213D1">
        <w:rPr>
          <w:rFonts w:ascii="Times New Roman" w:hAnsi="Times New Roman"/>
          <w:sz w:val="24"/>
          <w:szCs w:val="24"/>
        </w:rPr>
        <w:t>eviewed and</w:t>
      </w:r>
      <w:r w:rsidR="00611B51" w:rsidRPr="006213D1">
        <w:rPr>
          <w:rFonts w:ascii="Times New Roman" w:hAnsi="Times New Roman"/>
          <w:sz w:val="24"/>
          <w:szCs w:val="24"/>
        </w:rPr>
        <w:t>/or</w:t>
      </w:r>
      <w:r w:rsidR="008E2B87" w:rsidRPr="006213D1">
        <w:rPr>
          <w:rFonts w:ascii="Times New Roman" w:hAnsi="Times New Roman"/>
          <w:sz w:val="24"/>
          <w:szCs w:val="24"/>
        </w:rPr>
        <w:t xml:space="preserve"> r</w:t>
      </w:r>
      <w:r w:rsidRPr="006213D1">
        <w:rPr>
          <w:rFonts w:ascii="Times New Roman" w:hAnsi="Times New Roman"/>
          <w:sz w:val="24"/>
          <w:szCs w:val="24"/>
        </w:rPr>
        <w:t>evised</w:t>
      </w:r>
      <w:r w:rsidR="00DC1B8B" w:rsidRPr="006213D1">
        <w:rPr>
          <w:rFonts w:ascii="Times New Roman" w:hAnsi="Times New Roman"/>
          <w:sz w:val="24"/>
          <w:szCs w:val="24"/>
        </w:rPr>
        <w:t xml:space="preserve"> in 202</w:t>
      </w:r>
      <w:r w:rsidR="004B16AC" w:rsidRPr="006213D1">
        <w:rPr>
          <w:rFonts w:ascii="Times New Roman" w:hAnsi="Times New Roman"/>
          <w:sz w:val="24"/>
          <w:szCs w:val="24"/>
        </w:rPr>
        <w:t>4</w:t>
      </w:r>
      <w:r w:rsidRPr="006213D1">
        <w:rPr>
          <w:rFonts w:ascii="Times New Roman" w:hAnsi="Times New Roman"/>
          <w:sz w:val="24"/>
          <w:szCs w:val="24"/>
        </w:rPr>
        <w:t>:</w:t>
      </w:r>
    </w:p>
    <w:p w14:paraId="27E621F2" w14:textId="1294BE3E" w:rsidR="000F618F" w:rsidRPr="006213D1" w:rsidRDefault="000F618F" w:rsidP="002B1C4F">
      <w:pPr>
        <w:pStyle w:val="ListParagraph"/>
        <w:numPr>
          <w:ilvl w:val="1"/>
          <w:numId w:val="12"/>
        </w:numPr>
        <w:tabs>
          <w:tab w:val="left" w:pos="2340"/>
        </w:tabs>
        <w:jc w:val="both"/>
        <w:rPr>
          <w:rFonts w:ascii="Times New Roman" w:hAnsi="Times New Roman"/>
          <w:sz w:val="24"/>
          <w:szCs w:val="24"/>
        </w:rPr>
      </w:pPr>
      <w:r w:rsidRPr="006213D1">
        <w:rPr>
          <w:rFonts w:ascii="Times New Roman" w:hAnsi="Times New Roman"/>
          <w:sz w:val="24"/>
          <w:szCs w:val="24"/>
        </w:rPr>
        <w:t>1.300</w:t>
      </w:r>
      <w:r w:rsidR="006251ED">
        <w:rPr>
          <w:rFonts w:ascii="Times New Roman" w:hAnsi="Times New Roman"/>
          <w:sz w:val="24"/>
          <w:szCs w:val="24"/>
        </w:rPr>
        <w:tab/>
      </w:r>
      <w:r w:rsidR="006251ED">
        <w:rPr>
          <w:rFonts w:ascii="Times New Roman" w:hAnsi="Times New Roman"/>
          <w:sz w:val="24"/>
          <w:szCs w:val="24"/>
        </w:rPr>
        <w:tab/>
      </w:r>
      <w:r w:rsidRPr="006213D1">
        <w:rPr>
          <w:rFonts w:ascii="Times New Roman" w:hAnsi="Times New Roman"/>
          <w:sz w:val="24"/>
          <w:szCs w:val="24"/>
        </w:rPr>
        <w:t>Internal Investigations</w:t>
      </w:r>
    </w:p>
    <w:p w14:paraId="42B10433" w14:textId="0355EDE9" w:rsidR="00540DC5" w:rsidRPr="006213D1" w:rsidRDefault="005778C0" w:rsidP="002B1C4F">
      <w:pPr>
        <w:pStyle w:val="ListParagraph"/>
        <w:numPr>
          <w:ilvl w:val="1"/>
          <w:numId w:val="12"/>
        </w:numPr>
        <w:tabs>
          <w:tab w:val="left" w:pos="2340"/>
        </w:tabs>
        <w:jc w:val="both"/>
        <w:rPr>
          <w:rFonts w:ascii="Times New Roman" w:hAnsi="Times New Roman"/>
          <w:sz w:val="24"/>
          <w:szCs w:val="24"/>
        </w:rPr>
      </w:pPr>
      <w:r w:rsidRPr="006213D1">
        <w:rPr>
          <w:rFonts w:ascii="Times New Roman" w:hAnsi="Times New Roman"/>
          <w:sz w:val="24"/>
          <w:szCs w:val="24"/>
        </w:rPr>
        <w:t>1.300.</w:t>
      </w:r>
      <w:r w:rsidR="006251ED">
        <w:rPr>
          <w:rFonts w:ascii="Times New Roman" w:hAnsi="Times New Roman"/>
          <w:sz w:val="24"/>
          <w:szCs w:val="24"/>
        </w:rPr>
        <w:t>1</w:t>
      </w:r>
      <w:r w:rsidR="006251ED">
        <w:rPr>
          <w:rFonts w:ascii="Times New Roman" w:hAnsi="Times New Roman"/>
          <w:sz w:val="24"/>
          <w:szCs w:val="24"/>
        </w:rPr>
        <w:tab/>
      </w:r>
      <w:r w:rsidR="006251ED">
        <w:rPr>
          <w:rFonts w:ascii="Times New Roman" w:hAnsi="Times New Roman"/>
          <w:sz w:val="24"/>
          <w:szCs w:val="24"/>
        </w:rPr>
        <w:tab/>
      </w:r>
      <w:r w:rsidR="00540DC5" w:rsidRPr="006213D1">
        <w:rPr>
          <w:rFonts w:ascii="Times New Roman" w:hAnsi="Times New Roman"/>
          <w:sz w:val="24"/>
          <w:szCs w:val="24"/>
        </w:rPr>
        <w:t>Investigation Summary</w:t>
      </w:r>
    </w:p>
    <w:p w14:paraId="1BFAF6B7" w14:textId="2BA2623F" w:rsidR="005778C0" w:rsidRPr="006213D1" w:rsidRDefault="00540DC5" w:rsidP="002B1C4F">
      <w:pPr>
        <w:pStyle w:val="ListParagraph"/>
        <w:numPr>
          <w:ilvl w:val="1"/>
          <w:numId w:val="12"/>
        </w:numPr>
        <w:jc w:val="both"/>
        <w:rPr>
          <w:rFonts w:ascii="Times New Roman" w:hAnsi="Times New Roman"/>
          <w:sz w:val="24"/>
          <w:szCs w:val="24"/>
        </w:rPr>
      </w:pPr>
      <w:r w:rsidRPr="006213D1">
        <w:rPr>
          <w:rFonts w:ascii="Times New Roman" w:hAnsi="Times New Roman"/>
          <w:sz w:val="24"/>
          <w:szCs w:val="24"/>
        </w:rPr>
        <w:t>1.300.</w:t>
      </w:r>
      <w:r w:rsidR="006251ED">
        <w:rPr>
          <w:rFonts w:ascii="Times New Roman" w:hAnsi="Times New Roman"/>
          <w:sz w:val="24"/>
          <w:szCs w:val="24"/>
        </w:rPr>
        <w:t>2</w:t>
      </w:r>
      <w:r w:rsidR="006251ED">
        <w:rPr>
          <w:rFonts w:ascii="Times New Roman" w:hAnsi="Times New Roman"/>
          <w:sz w:val="24"/>
          <w:szCs w:val="24"/>
        </w:rPr>
        <w:tab/>
      </w:r>
      <w:r w:rsidR="005778C0" w:rsidRPr="006213D1">
        <w:rPr>
          <w:rFonts w:ascii="Times New Roman" w:hAnsi="Times New Roman"/>
          <w:sz w:val="24"/>
          <w:szCs w:val="24"/>
        </w:rPr>
        <w:t xml:space="preserve">PREA Investigations Summary </w:t>
      </w:r>
    </w:p>
    <w:p w14:paraId="05D78A53" w14:textId="5F0C82D3" w:rsidR="00026B7C" w:rsidRPr="006213D1" w:rsidRDefault="006251ED" w:rsidP="002B1C4F">
      <w:pPr>
        <w:pStyle w:val="ListParagraph"/>
        <w:numPr>
          <w:ilvl w:val="1"/>
          <w:numId w:val="12"/>
        </w:numPr>
        <w:jc w:val="both"/>
        <w:rPr>
          <w:rFonts w:ascii="Times New Roman" w:hAnsi="Times New Roman"/>
          <w:sz w:val="24"/>
          <w:szCs w:val="24"/>
        </w:rPr>
      </w:pPr>
      <w:r>
        <w:rPr>
          <w:rFonts w:ascii="Times New Roman" w:hAnsi="Times New Roman"/>
          <w:sz w:val="24"/>
          <w:szCs w:val="24"/>
        </w:rPr>
        <w:t>1.300.3</w:t>
      </w:r>
      <w:r>
        <w:rPr>
          <w:rFonts w:ascii="Times New Roman" w:hAnsi="Times New Roman"/>
          <w:sz w:val="24"/>
          <w:szCs w:val="24"/>
        </w:rPr>
        <w:tab/>
      </w:r>
      <w:r w:rsidR="00026B7C" w:rsidRPr="006213D1">
        <w:rPr>
          <w:rFonts w:ascii="Times New Roman" w:hAnsi="Times New Roman"/>
          <w:sz w:val="24"/>
          <w:szCs w:val="24"/>
        </w:rPr>
        <w:t>SCDOC Stateme</w:t>
      </w:r>
      <w:r w:rsidR="003465D3" w:rsidRPr="006213D1">
        <w:rPr>
          <w:rFonts w:ascii="Times New Roman" w:hAnsi="Times New Roman"/>
          <w:sz w:val="24"/>
          <w:szCs w:val="24"/>
        </w:rPr>
        <w:t>nt of Rights (</w:t>
      </w:r>
      <w:proofErr w:type="spellStart"/>
      <w:r w:rsidR="003465D3" w:rsidRPr="006213D1">
        <w:rPr>
          <w:rFonts w:ascii="Times New Roman" w:hAnsi="Times New Roman"/>
          <w:sz w:val="24"/>
          <w:szCs w:val="24"/>
        </w:rPr>
        <w:t>Kalkines</w:t>
      </w:r>
      <w:proofErr w:type="spellEnd"/>
      <w:r w:rsidR="003465D3" w:rsidRPr="006213D1">
        <w:rPr>
          <w:rFonts w:ascii="Times New Roman" w:hAnsi="Times New Roman"/>
          <w:sz w:val="24"/>
          <w:szCs w:val="24"/>
        </w:rPr>
        <w:t xml:space="preserve"> Warning)</w:t>
      </w:r>
    </w:p>
    <w:p w14:paraId="38E23C56" w14:textId="7B8914F6" w:rsidR="004B16AC" w:rsidRPr="006213D1" w:rsidRDefault="006251ED" w:rsidP="002B1C4F">
      <w:pPr>
        <w:pStyle w:val="ListParagraph"/>
        <w:numPr>
          <w:ilvl w:val="1"/>
          <w:numId w:val="12"/>
        </w:numPr>
        <w:jc w:val="both"/>
        <w:rPr>
          <w:rFonts w:ascii="Times New Roman" w:hAnsi="Times New Roman"/>
          <w:sz w:val="24"/>
          <w:szCs w:val="24"/>
        </w:rPr>
      </w:pPr>
      <w:r>
        <w:rPr>
          <w:rFonts w:ascii="Times New Roman" w:hAnsi="Times New Roman"/>
          <w:sz w:val="24"/>
          <w:szCs w:val="24"/>
        </w:rPr>
        <w:t>1.300.4</w:t>
      </w:r>
      <w:r>
        <w:rPr>
          <w:rFonts w:ascii="Times New Roman" w:hAnsi="Times New Roman"/>
          <w:sz w:val="24"/>
          <w:szCs w:val="24"/>
        </w:rPr>
        <w:tab/>
      </w:r>
      <w:r w:rsidR="004B16AC" w:rsidRPr="006213D1">
        <w:rPr>
          <w:rFonts w:ascii="Times New Roman" w:hAnsi="Times New Roman"/>
          <w:sz w:val="24"/>
          <w:szCs w:val="24"/>
        </w:rPr>
        <w:t>Written Statement</w:t>
      </w:r>
    </w:p>
    <w:p w14:paraId="5A319332" w14:textId="777070CF" w:rsidR="000F618F" w:rsidRPr="006213D1" w:rsidRDefault="000F618F" w:rsidP="002B1C4F">
      <w:pPr>
        <w:pStyle w:val="ListParagraph"/>
        <w:numPr>
          <w:ilvl w:val="1"/>
          <w:numId w:val="12"/>
        </w:numPr>
        <w:jc w:val="both"/>
        <w:rPr>
          <w:rFonts w:ascii="Times New Roman" w:hAnsi="Times New Roman"/>
          <w:sz w:val="24"/>
          <w:szCs w:val="24"/>
        </w:rPr>
      </w:pPr>
      <w:r w:rsidRPr="006213D1">
        <w:rPr>
          <w:rFonts w:ascii="Times New Roman" w:hAnsi="Times New Roman"/>
          <w:sz w:val="24"/>
          <w:szCs w:val="24"/>
        </w:rPr>
        <w:t>1.301</w:t>
      </w:r>
      <w:r w:rsidR="006251ED">
        <w:rPr>
          <w:rFonts w:ascii="Times New Roman" w:hAnsi="Times New Roman"/>
          <w:sz w:val="24"/>
          <w:szCs w:val="24"/>
        </w:rPr>
        <w:tab/>
      </w:r>
      <w:r w:rsidR="006251ED">
        <w:rPr>
          <w:rFonts w:ascii="Times New Roman" w:hAnsi="Times New Roman"/>
          <w:sz w:val="24"/>
          <w:szCs w:val="24"/>
        </w:rPr>
        <w:tab/>
      </w:r>
      <w:r w:rsidRPr="006213D1">
        <w:rPr>
          <w:rFonts w:ascii="Times New Roman" w:hAnsi="Times New Roman"/>
          <w:sz w:val="24"/>
          <w:szCs w:val="24"/>
        </w:rPr>
        <w:t xml:space="preserve">PREA – Sexual </w:t>
      </w:r>
      <w:r w:rsidR="00164958" w:rsidRPr="006213D1">
        <w:rPr>
          <w:rFonts w:ascii="Times New Roman" w:hAnsi="Times New Roman"/>
          <w:sz w:val="24"/>
          <w:szCs w:val="24"/>
        </w:rPr>
        <w:t xml:space="preserve">Abuse </w:t>
      </w:r>
      <w:r w:rsidRPr="006213D1">
        <w:rPr>
          <w:rFonts w:ascii="Times New Roman" w:hAnsi="Times New Roman"/>
          <w:sz w:val="24"/>
          <w:szCs w:val="24"/>
        </w:rPr>
        <w:t xml:space="preserve">Prevention and Intervention </w:t>
      </w:r>
    </w:p>
    <w:p w14:paraId="3AE8CAD8" w14:textId="5DF724BE" w:rsidR="000F618F" w:rsidRPr="006213D1" w:rsidRDefault="000F618F" w:rsidP="002B1C4F">
      <w:pPr>
        <w:pStyle w:val="ListParagraph"/>
        <w:numPr>
          <w:ilvl w:val="1"/>
          <w:numId w:val="12"/>
        </w:numPr>
        <w:jc w:val="both"/>
        <w:rPr>
          <w:rFonts w:ascii="Times New Roman" w:hAnsi="Times New Roman"/>
          <w:sz w:val="24"/>
          <w:szCs w:val="24"/>
        </w:rPr>
      </w:pPr>
      <w:r w:rsidRPr="006213D1">
        <w:rPr>
          <w:rFonts w:ascii="Times New Roman" w:hAnsi="Times New Roman"/>
          <w:sz w:val="24"/>
          <w:szCs w:val="24"/>
        </w:rPr>
        <w:t>1.301.</w:t>
      </w:r>
      <w:r w:rsidR="006251ED">
        <w:rPr>
          <w:rFonts w:ascii="Times New Roman" w:hAnsi="Times New Roman"/>
          <w:sz w:val="24"/>
          <w:szCs w:val="24"/>
        </w:rPr>
        <w:t>1a</w:t>
      </w:r>
      <w:r w:rsidR="006251ED">
        <w:rPr>
          <w:rFonts w:ascii="Times New Roman" w:hAnsi="Times New Roman"/>
          <w:sz w:val="24"/>
          <w:szCs w:val="24"/>
        </w:rPr>
        <w:tab/>
      </w:r>
      <w:r w:rsidRPr="006213D1">
        <w:rPr>
          <w:rFonts w:ascii="Times New Roman" w:hAnsi="Times New Roman"/>
          <w:sz w:val="24"/>
          <w:szCs w:val="24"/>
        </w:rPr>
        <w:t xml:space="preserve">PREA </w:t>
      </w:r>
      <w:r w:rsidR="00540DC5" w:rsidRPr="006213D1">
        <w:rPr>
          <w:rFonts w:ascii="Times New Roman" w:hAnsi="Times New Roman"/>
          <w:sz w:val="24"/>
          <w:szCs w:val="24"/>
        </w:rPr>
        <w:t xml:space="preserve">Client </w:t>
      </w:r>
      <w:r w:rsidRPr="006213D1">
        <w:rPr>
          <w:rFonts w:ascii="Times New Roman" w:hAnsi="Times New Roman"/>
          <w:sz w:val="24"/>
          <w:szCs w:val="24"/>
        </w:rPr>
        <w:t>Acknowledgement Form</w:t>
      </w:r>
    </w:p>
    <w:p w14:paraId="0FBA869B" w14:textId="384BCC4C" w:rsidR="00540DC5" w:rsidRPr="006213D1" w:rsidRDefault="006251ED" w:rsidP="002B1C4F">
      <w:pPr>
        <w:pStyle w:val="ListParagraph"/>
        <w:numPr>
          <w:ilvl w:val="1"/>
          <w:numId w:val="12"/>
        </w:numPr>
        <w:jc w:val="both"/>
        <w:rPr>
          <w:rFonts w:ascii="Times New Roman" w:hAnsi="Times New Roman"/>
          <w:sz w:val="24"/>
          <w:szCs w:val="24"/>
        </w:rPr>
      </w:pPr>
      <w:r>
        <w:rPr>
          <w:rFonts w:ascii="Times New Roman" w:hAnsi="Times New Roman"/>
          <w:sz w:val="24"/>
          <w:szCs w:val="24"/>
        </w:rPr>
        <w:t>1.301.1b</w:t>
      </w:r>
      <w:r>
        <w:rPr>
          <w:rFonts w:ascii="Times New Roman" w:hAnsi="Times New Roman"/>
          <w:sz w:val="24"/>
          <w:szCs w:val="24"/>
        </w:rPr>
        <w:tab/>
      </w:r>
      <w:r w:rsidR="00540DC5" w:rsidRPr="006213D1">
        <w:rPr>
          <w:rFonts w:ascii="Times New Roman" w:hAnsi="Times New Roman"/>
          <w:sz w:val="24"/>
          <w:szCs w:val="24"/>
        </w:rPr>
        <w:t>PREA Client Acknowledgement Form (Spanish)</w:t>
      </w:r>
    </w:p>
    <w:p w14:paraId="01CA9C63" w14:textId="679DF385" w:rsidR="00421B15" w:rsidRPr="006213D1" w:rsidRDefault="006251ED" w:rsidP="002B1C4F">
      <w:pPr>
        <w:pStyle w:val="ListParagraph"/>
        <w:numPr>
          <w:ilvl w:val="1"/>
          <w:numId w:val="12"/>
        </w:numPr>
        <w:jc w:val="both"/>
        <w:rPr>
          <w:rFonts w:ascii="Times New Roman" w:hAnsi="Times New Roman"/>
          <w:sz w:val="24"/>
          <w:szCs w:val="24"/>
        </w:rPr>
      </w:pPr>
      <w:r>
        <w:rPr>
          <w:rFonts w:ascii="Times New Roman" w:hAnsi="Times New Roman"/>
          <w:sz w:val="24"/>
          <w:szCs w:val="24"/>
        </w:rPr>
        <w:t>1.301.1c</w:t>
      </w:r>
      <w:r>
        <w:rPr>
          <w:rFonts w:ascii="Times New Roman" w:hAnsi="Times New Roman"/>
          <w:sz w:val="24"/>
          <w:szCs w:val="24"/>
        </w:rPr>
        <w:tab/>
      </w:r>
      <w:r w:rsidR="00421B15" w:rsidRPr="006213D1">
        <w:rPr>
          <w:rFonts w:ascii="Times New Roman" w:hAnsi="Times New Roman"/>
          <w:sz w:val="24"/>
          <w:szCs w:val="24"/>
        </w:rPr>
        <w:t>PREA Client Acknowledgement Form (Field Services</w:t>
      </w:r>
      <w:r w:rsidR="00026B7C" w:rsidRPr="006213D1">
        <w:rPr>
          <w:rFonts w:ascii="Times New Roman" w:hAnsi="Times New Roman"/>
          <w:sz w:val="24"/>
          <w:szCs w:val="24"/>
        </w:rPr>
        <w:t>)</w:t>
      </w:r>
    </w:p>
    <w:p w14:paraId="54DE3EA8" w14:textId="190D7815" w:rsidR="00540DC5" w:rsidRPr="006213D1" w:rsidRDefault="006251ED" w:rsidP="002B1C4F">
      <w:pPr>
        <w:pStyle w:val="ListParagraph"/>
        <w:numPr>
          <w:ilvl w:val="1"/>
          <w:numId w:val="12"/>
        </w:numPr>
        <w:jc w:val="both"/>
        <w:rPr>
          <w:rFonts w:ascii="Times New Roman" w:hAnsi="Times New Roman"/>
          <w:sz w:val="24"/>
          <w:szCs w:val="24"/>
        </w:rPr>
      </w:pPr>
      <w:r>
        <w:rPr>
          <w:rFonts w:ascii="Times New Roman" w:hAnsi="Times New Roman"/>
          <w:sz w:val="24"/>
          <w:szCs w:val="24"/>
        </w:rPr>
        <w:t>1.301.2</w:t>
      </w:r>
      <w:r>
        <w:rPr>
          <w:rFonts w:ascii="Times New Roman" w:hAnsi="Times New Roman"/>
          <w:sz w:val="24"/>
          <w:szCs w:val="24"/>
        </w:rPr>
        <w:tab/>
      </w:r>
      <w:r w:rsidR="00540DC5" w:rsidRPr="006213D1">
        <w:rPr>
          <w:rFonts w:ascii="Times New Roman" w:hAnsi="Times New Roman"/>
          <w:sz w:val="24"/>
          <w:szCs w:val="24"/>
        </w:rPr>
        <w:t>PREA Acknowledgement Form</w:t>
      </w:r>
    </w:p>
    <w:p w14:paraId="6D1691D1" w14:textId="685C704E" w:rsidR="000F618F" w:rsidRPr="006213D1" w:rsidRDefault="000F618F" w:rsidP="002B1C4F">
      <w:pPr>
        <w:pStyle w:val="ListParagraph"/>
        <w:numPr>
          <w:ilvl w:val="1"/>
          <w:numId w:val="12"/>
        </w:numPr>
        <w:jc w:val="both"/>
        <w:rPr>
          <w:rFonts w:ascii="Times New Roman" w:hAnsi="Times New Roman"/>
          <w:sz w:val="24"/>
          <w:szCs w:val="24"/>
        </w:rPr>
      </w:pPr>
      <w:r w:rsidRPr="006213D1">
        <w:rPr>
          <w:rFonts w:ascii="Times New Roman" w:hAnsi="Times New Roman"/>
          <w:sz w:val="24"/>
          <w:szCs w:val="24"/>
        </w:rPr>
        <w:t>1.301.3</w:t>
      </w:r>
      <w:r w:rsidR="00421B15" w:rsidRPr="006213D1">
        <w:rPr>
          <w:rFonts w:ascii="Times New Roman" w:hAnsi="Times New Roman"/>
          <w:sz w:val="24"/>
          <w:szCs w:val="24"/>
        </w:rPr>
        <w:t>a</w:t>
      </w:r>
      <w:r w:rsidR="006251ED">
        <w:rPr>
          <w:rFonts w:ascii="Times New Roman" w:hAnsi="Times New Roman"/>
          <w:sz w:val="24"/>
          <w:szCs w:val="24"/>
        </w:rPr>
        <w:tab/>
      </w:r>
      <w:r w:rsidRPr="006213D1">
        <w:rPr>
          <w:rFonts w:ascii="Times New Roman" w:hAnsi="Times New Roman"/>
          <w:sz w:val="24"/>
          <w:szCs w:val="24"/>
        </w:rPr>
        <w:t>PREA Protocol Form</w:t>
      </w:r>
    </w:p>
    <w:p w14:paraId="15E4E727" w14:textId="585B8F65" w:rsidR="00421B15" w:rsidRPr="006213D1" w:rsidRDefault="006251ED" w:rsidP="002B1C4F">
      <w:pPr>
        <w:pStyle w:val="ListParagraph"/>
        <w:numPr>
          <w:ilvl w:val="1"/>
          <w:numId w:val="12"/>
        </w:numPr>
        <w:jc w:val="both"/>
        <w:rPr>
          <w:rFonts w:ascii="Times New Roman" w:hAnsi="Times New Roman"/>
          <w:sz w:val="24"/>
          <w:szCs w:val="24"/>
        </w:rPr>
      </w:pPr>
      <w:r>
        <w:rPr>
          <w:rFonts w:ascii="Times New Roman" w:hAnsi="Times New Roman"/>
          <w:sz w:val="24"/>
          <w:szCs w:val="24"/>
        </w:rPr>
        <w:t>1.301.3b</w:t>
      </w:r>
      <w:r>
        <w:rPr>
          <w:rFonts w:ascii="Times New Roman" w:hAnsi="Times New Roman"/>
          <w:sz w:val="24"/>
          <w:szCs w:val="24"/>
        </w:rPr>
        <w:tab/>
      </w:r>
      <w:r w:rsidR="00B45138" w:rsidRPr="006213D1">
        <w:rPr>
          <w:rFonts w:ascii="Times New Roman" w:hAnsi="Times New Roman"/>
          <w:sz w:val="24"/>
          <w:szCs w:val="24"/>
        </w:rPr>
        <w:t xml:space="preserve">PREA Investigator Checklist </w:t>
      </w:r>
    </w:p>
    <w:p w14:paraId="0984901F" w14:textId="4826A3AD" w:rsidR="00611B51" w:rsidRPr="006213D1" w:rsidRDefault="006251ED" w:rsidP="002B1C4F">
      <w:pPr>
        <w:pStyle w:val="ListParagraph"/>
        <w:numPr>
          <w:ilvl w:val="1"/>
          <w:numId w:val="12"/>
        </w:numPr>
        <w:jc w:val="both"/>
        <w:rPr>
          <w:rFonts w:ascii="Times New Roman" w:hAnsi="Times New Roman"/>
          <w:sz w:val="24"/>
          <w:szCs w:val="24"/>
        </w:rPr>
      </w:pPr>
      <w:r>
        <w:rPr>
          <w:rFonts w:ascii="Times New Roman" w:hAnsi="Times New Roman"/>
          <w:sz w:val="24"/>
          <w:szCs w:val="24"/>
        </w:rPr>
        <w:t>1.301.4</w:t>
      </w:r>
      <w:r>
        <w:rPr>
          <w:rFonts w:ascii="Times New Roman" w:hAnsi="Times New Roman"/>
          <w:sz w:val="24"/>
          <w:szCs w:val="24"/>
        </w:rPr>
        <w:tab/>
      </w:r>
      <w:r w:rsidR="00611B51" w:rsidRPr="006213D1">
        <w:rPr>
          <w:rFonts w:ascii="Times New Roman" w:hAnsi="Times New Roman"/>
          <w:sz w:val="24"/>
          <w:szCs w:val="24"/>
        </w:rPr>
        <w:t>PREA Retaliation Monitoring</w:t>
      </w:r>
    </w:p>
    <w:p w14:paraId="3D99BDA5" w14:textId="0598959E" w:rsidR="000F618F" w:rsidRPr="006213D1" w:rsidRDefault="000F618F" w:rsidP="002B1C4F">
      <w:pPr>
        <w:pStyle w:val="ListParagraph"/>
        <w:numPr>
          <w:ilvl w:val="1"/>
          <w:numId w:val="12"/>
        </w:numPr>
        <w:jc w:val="both"/>
        <w:rPr>
          <w:rFonts w:ascii="Times New Roman" w:hAnsi="Times New Roman"/>
          <w:sz w:val="24"/>
          <w:szCs w:val="24"/>
        </w:rPr>
      </w:pPr>
      <w:r w:rsidRPr="006213D1">
        <w:rPr>
          <w:rFonts w:ascii="Times New Roman" w:hAnsi="Times New Roman"/>
          <w:sz w:val="24"/>
          <w:szCs w:val="24"/>
        </w:rPr>
        <w:t>1.301.5</w:t>
      </w:r>
      <w:r w:rsidR="00421B15" w:rsidRPr="006213D1">
        <w:rPr>
          <w:rFonts w:ascii="Times New Roman" w:hAnsi="Times New Roman"/>
          <w:sz w:val="24"/>
          <w:szCs w:val="24"/>
        </w:rPr>
        <w:t>a</w:t>
      </w:r>
      <w:r w:rsidR="006251ED">
        <w:rPr>
          <w:rFonts w:ascii="Times New Roman" w:hAnsi="Times New Roman"/>
          <w:sz w:val="24"/>
          <w:szCs w:val="24"/>
        </w:rPr>
        <w:tab/>
      </w:r>
      <w:r w:rsidR="002A6FE7" w:rsidRPr="006213D1">
        <w:rPr>
          <w:rFonts w:ascii="Times New Roman" w:hAnsi="Times New Roman"/>
          <w:sz w:val="24"/>
          <w:szCs w:val="24"/>
        </w:rPr>
        <w:t>PREA Investigations Flowchart</w:t>
      </w:r>
      <w:r w:rsidR="00763ACC" w:rsidRPr="006213D1">
        <w:rPr>
          <w:rFonts w:ascii="Times New Roman" w:hAnsi="Times New Roman"/>
          <w:sz w:val="24"/>
          <w:szCs w:val="24"/>
        </w:rPr>
        <w:t xml:space="preserve"> </w:t>
      </w:r>
    </w:p>
    <w:p w14:paraId="4E0D2840" w14:textId="1222EF2E" w:rsidR="00421B15" w:rsidRPr="006213D1" w:rsidRDefault="006251ED" w:rsidP="002B1C4F">
      <w:pPr>
        <w:pStyle w:val="ListParagraph"/>
        <w:numPr>
          <w:ilvl w:val="1"/>
          <w:numId w:val="12"/>
        </w:numPr>
        <w:jc w:val="both"/>
        <w:rPr>
          <w:rFonts w:ascii="Times New Roman" w:hAnsi="Times New Roman"/>
          <w:sz w:val="24"/>
          <w:szCs w:val="24"/>
        </w:rPr>
      </w:pPr>
      <w:r>
        <w:rPr>
          <w:rFonts w:ascii="Times New Roman" w:hAnsi="Times New Roman"/>
          <w:sz w:val="24"/>
          <w:szCs w:val="24"/>
        </w:rPr>
        <w:t>1.301.5b</w:t>
      </w:r>
      <w:r>
        <w:rPr>
          <w:rFonts w:ascii="Times New Roman" w:hAnsi="Times New Roman"/>
          <w:sz w:val="24"/>
          <w:szCs w:val="24"/>
        </w:rPr>
        <w:tab/>
      </w:r>
      <w:r w:rsidR="002A6FE7" w:rsidRPr="006213D1">
        <w:rPr>
          <w:rFonts w:ascii="Times New Roman" w:hAnsi="Times New Roman"/>
          <w:sz w:val="24"/>
          <w:szCs w:val="24"/>
        </w:rPr>
        <w:t xml:space="preserve">PREA Processing Map  </w:t>
      </w:r>
    </w:p>
    <w:p w14:paraId="69CDF9C3" w14:textId="5F57CCA6" w:rsidR="00611B51" w:rsidRPr="006213D1" w:rsidRDefault="000F618F" w:rsidP="002B1C4F">
      <w:pPr>
        <w:pStyle w:val="ListParagraph"/>
        <w:numPr>
          <w:ilvl w:val="1"/>
          <w:numId w:val="12"/>
        </w:numPr>
        <w:jc w:val="both"/>
        <w:rPr>
          <w:rFonts w:ascii="Times New Roman" w:hAnsi="Times New Roman"/>
          <w:sz w:val="24"/>
          <w:szCs w:val="24"/>
        </w:rPr>
      </w:pPr>
      <w:r w:rsidRPr="006213D1">
        <w:rPr>
          <w:rFonts w:ascii="Times New Roman" w:hAnsi="Times New Roman"/>
          <w:sz w:val="24"/>
          <w:szCs w:val="24"/>
        </w:rPr>
        <w:t>1.301.6</w:t>
      </w:r>
      <w:r w:rsidR="006251ED">
        <w:rPr>
          <w:rFonts w:ascii="Times New Roman" w:hAnsi="Times New Roman"/>
          <w:sz w:val="24"/>
          <w:szCs w:val="24"/>
        </w:rPr>
        <w:t xml:space="preserve"> </w:t>
      </w:r>
      <w:r w:rsidR="006251ED">
        <w:rPr>
          <w:rFonts w:ascii="Times New Roman" w:hAnsi="Times New Roman"/>
          <w:sz w:val="24"/>
          <w:szCs w:val="24"/>
        </w:rPr>
        <w:tab/>
      </w:r>
      <w:r w:rsidRPr="006213D1">
        <w:rPr>
          <w:rFonts w:ascii="Times New Roman" w:hAnsi="Times New Roman"/>
          <w:sz w:val="24"/>
          <w:szCs w:val="24"/>
        </w:rPr>
        <w:t>Disclosure of PREA Employment Standards Violation</w:t>
      </w:r>
    </w:p>
    <w:p w14:paraId="1DF397DE" w14:textId="72E2A717" w:rsidR="00611B51" w:rsidRPr="006213D1" w:rsidRDefault="006251ED" w:rsidP="002B1C4F">
      <w:pPr>
        <w:pStyle w:val="ListParagraph"/>
        <w:numPr>
          <w:ilvl w:val="1"/>
          <w:numId w:val="12"/>
        </w:numPr>
        <w:jc w:val="both"/>
        <w:rPr>
          <w:rFonts w:ascii="Times New Roman" w:hAnsi="Times New Roman"/>
          <w:sz w:val="24"/>
          <w:szCs w:val="24"/>
        </w:rPr>
      </w:pPr>
      <w:r>
        <w:rPr>
          <w:rFonts w:ascii="Times New Roman" w:hAnsi="Times New Roman"/>
          <w:sz w:val="24"/>
          <w:szCs w:val="24"/>
        </w:rPr>
        <w:t>1.301.7</w:t>
      </w:r>
      <w:r>
        <w:rPr>
          <w:rFonts w:ascii="Times New Roman" w:hAnsi="Times New Roman"/>
          <w:sz w:val="24"/>
          <w:szCs w:val="24"/>
        </w:rPr>
        <w:tab/>
      </w:r>
      <w:r w:rsidR="00611B51" w:rsidRPr="006213D1">
        <w:rPr>
          <w:rFonts w:ascii="Times New Roman" w:hAnsi="Times New Roman"/>
          <w:sz w:val="24"/>
          <w:szCs w:val="24"/>
        </w:rPr>
        <w:t>PREA Unannounced Rounds</w:t>
      </w:r>
    </w:p>
    <w:p w14:paraId="2515D3F3" w14:textId="62CB0839" w:rsidR="000F618F" w:rsidRPr="006213D1" w:rsidRDefault="006251ED" w:rsidP="002B1C4F">
      <w:pPr>
        <w:pStyle w:val="ListParagraph"/>
        <w:numPr>
          <w:ilvl w:val="1"/>
          <w:numId w:val="12"/>
        </w:numPr>
        <w:jc w:val="both"/>
        <w:rPr>
          <w:rFonts w:ascii="Times New Roman" w:hAnsi="Times New Roman"/>
          <w:sz w:val="24"/>
          <w:szCs w:val="24"/>
        </w:rPr>
      </w:pPr>
      <w:r>
        <w:rPr>
          <w:rFonts w:ascii="Times New Roman" w:hAnsi="Times New Roman"/>
          <w:sz w:val="24"/>
          <w:szCs w:val="24"/>
        </w:rPr>
        <w:t>1.301.8</w:t>
      </w:r>
      <w:r>
        <w:rPr>
          <w:rFonts w:ascii="Times New Roman" w:hAnsi="Times New Roman"/>
          <w:sz w:val="24"/>
          <w:szCs w:val="24"/>
        </w:rPr>
        <w:tab/>
      </w:r>
      <w:r w:rsidR="000F618F" w:rsidRPr="006213D1">
        <w:rPr>
          <w:rFonts w:ascii="Times New Roman" w:hAnsi="Times New Roman"/>
          <w:sz w:val="24"/>
          <w:szCs w:val="24"/>
        </w:rPr>
        <w:t>PREA Quiz</w:t>
      </w:r>
      <w:r w:rsidR="00611B51" w:rsidRPr="006213D1">
        <w:rPr>
          <w:rFonts w:ascii="Times New Roman" w:hAnsi="Times New Roman"/>
          <w:sz w:val="24"/>
          <w:szCs w:val="24"/>
        </w:rPr>
        <w:t xml:space="preserve"> for SCDOC</w:t>
      </w:r>
    </w:p>
    <w:p w14:paraId="5170E2E0" w14:textId="3CB5DC8B" w:rsidR="000F618F" w:rsidRPr="006213D1" w:rsidRDefault="006251ED" w:rsidP="002B1C4F">
      <w:pPr>
        <w:pStyle w:val="ListParagraph"/>
        <w:numPr>
          <w:ilvl w:val="1"/>
          <w:numId w:val="12"/>
        </w:numPr>
        <w:jc w:val="both"/>
        <w:rPr>
          <w:rFonts w:ascii="Times New Roman" w:hAnsi="Times New Roman"/>
          <w:sz w:val="24"/>
          <w:szCs w:val="24"/>
        </w:rPr>
      </w:pPr>
      <w:r>
        <w:rPr>
          <w:rFonts w:ascii="Times New Roman" w:hAnsi="Times New Roman"/>
          <w:sz w:val="24"/>
          <w:szCs w:val="24"/>
        </w:rPr>
        <w:t>1.301.9a</w:t>
      </w:r>
      <w:r>
        <w:rPr>
          <w:rFonts w:ascii="Times New Roman" w:hAnsi="Times New Roman"/>
          <w:sz w:val="24"/>
          <w:szCs w:val="24"/>
        </w:rPr>
        <w:tab/>
      </w:r>
      <w:r w:rsidR="00F73C95" w:rsidRPr="006213D1">
        <w:rPr>
          <w:rFonts w:ascii="Times New Roman" w:hAnsi="Times New Roman"/>
          <w:sz w:val="24"/>
          <w:szCs w:val="24"/>
        </w:rPr>
        <w:t>Medical Behavioral Health Admission Screening HA-2.0</w:t>
      </w:r>
    </w:p>
    <w:p w14:paraId="72BC7DCB" w14:textId="07A1EF74" w:rsidR="00611B51" w:rsidRPr="006213D1" w:rsidRDefault="006251ED" w:rsidP="002B1C4F">
      <w:pPr>
        <w:pStyle w:val="ListParagraph"/>
        <w:numPr>
          <w:ilvl w:val="1"/>
          <w:numId w:val="12"/>
        </w:numPr>
        <w:jc w:val="both"/>
        <w:rPr>
          <w:rFonts w:ascii="Times New Roman" w:hAnsi="Times New Roman"/>
          <w:sz w:val="24"/>
          <w:szCs w:val="24"/>
        </w:rPr>
      </w:pPr>
      <w:r>
        <w:rPr>
          <w:rFonts w:ascii="Times New Roman" w:hAnsi="Times New Roman"/>
          <w:sz w:val="24"/>
          <w:szCs w:val="24"/>
        </w:rPr>
        <w:t>1.301.9b</w:t>
      </w:r>
      <w:r>
        <w:rPr>
          <w:rFonts w:ascii="Times New Roman" w:hAnsi="Times New Roman"/>
          <w:sz w:val="24"/>
          <w:szCs w:val="24"/>
        </w:rPr>
        <w:tab/>
      </w:r>
      <w:r w:rsidR="00611B51" w:rsidRPr="006213D1">
        <w:rPr>
          <w:rFonts w:ascii="Times New Roman" w:hAnsi="Times New Roman"/>
          <w:sz w:val="24"/>
          <w:szCs w:val="24"/>
        </w:rPr>
        <w:t>ARES Screening for Victimization and Abusiveness</w:t>
      </w:r>
    </w:p>
    <w:p w14:paraId="4432CD75" w14:textId="28E67074" w:rsidR="000F618F" w:rsidRPr="006213D1" w:rsidRDefault="006251ED" w:rsidP="002B1C4F">
      <w:pPr>
        <w:pStyle w:val="ListParagraph"/>
        <w:numPr>
          <w:ilvl w:val="1"/>
          <w:numId w:val="12"/>
        </w:numPr>
        <w:jc w:val="both"/>
        <w:rPr>
          <w:rFonts w:ascii="Times New Roman" w:hAnsi="Times New Roman"/>
          <w:sz w:val="24"/>
          <w:szCs w:val="24"/>
        </w:rPr>
      </w:pPr>
      <w:r>
        <w:rPr>
          <w:rFonts w:ascii="Times New Roman" w:hAnsi="Times New Roman"/>
          <w:sz w:val="24"/>
          <w:szCs w:val="24"/>
        </w:rPr>
        <w:t>1.301.10</w:t>
      </w:r>
      <w:r>
        <w:rPr>
          <w:rFonts w:ascii="Times New Roman" w:hAnsi="Times New Roman"/>
          <w:sz w:val="24"/>
          <w:szCs w:val="24"/>
        </w:rPr>
        <w:tab/>
      </w:r>
      <w:r w:rsidR="00611B51" w:rsidRPr="006213D1">
        <w:rPr>
          <w:rFonts w:ascii="Times New Roman" w:hAnsi="Times New Roman"/>
          <w:sz w:val="24"/>
          <w:szCs w:val="24"/>
        </w:rPr>
        <w:t>Sexual Abuse Review Board (SARB)</w:t>
      </w:r>
      <w:r w:rsidR="000F618F" w:rsidRPr="006213D1">
        <w:rPr>
          <w:rFonts w:ascii="Times New Roman" w:hAnsi="Times New Roman"/>
          <w:sz w:val="24"/>
          <w:szCs w:val="24"/>
        </w:rPr>
        <w:t xml:space="preserve"> Incident </w:t>
      </w:r>
      <w:r w:rsidR="00611B51" w:rsidRPr="006213D1">
        <w:rPr>
          <w:rFonts w:ascii="Times New Roman" w:hAnsi="Times New Roman"/>
          <w:sz w:val="24"/>
          <w:szCs w:val="24"/>
        </w:rPr>
        <w:t xml:space="preserve">Review </w:t>
      </w:r>
      <w:r w:rsidR="000F618F" w:rsidRPr="006213D1">
        <w:rPr>
          <w:rFonts w:ascii="Times New Roman" w:hAnsi="Times New Roman"/>
          <w:sz w:val="24"/>
          <w:szCs w:val="24"/>
        </w:rPr>
        <w:t>Form</w:t>
      </w:r>
    </w:p>
    <w:p w14:paraId="6C00CCF4" w14:textId="748EACD6" w:rsidR="000F618F" w:rsidRPr="006213D1" w:rsidRDefault="006251ED" w:rsidP="002B1C4F">
      <w:pPr>
        <w:pStyle w:val="ListParagraph"/>
        <w:numPr>
          <w:ilvl w:val="1"/>
          <w:numId w:val="12"/>
        </w:numPr>
        <w:jc w:val="both"/>
        <w:rPr>
          <w:rFonts w:ascii="Times New Roman" w:hAnsi="Times New Roman"/>
          <w:sz w:val="24"/>
          <w:szCs w:val="24"/>
        </w:rPr>
      </w:pPr>
      <w:r>
        <w:rPr>
          <w:rFonts w:ascii="Times New Roman" w:hAnsi="Times New Roman"/>
          <w:sz w:val="24"/>
          <w:szCs w:val="24"/>
        </w:rPr>
        <w:t>1.301.11</w:t>
      </w:r>
      <w:r>
        <w:rPr>
          <w:rFonts w:ascii="Times New Roman" w:hAnsi="Times New Roman"/>
          <w:sz w:val="24"/>
          <w:szCs w:val="24"/>
        </w:rPr>
        <w:tab/>
      </w:r>
      <w:r w:rsidR="00611B51" w:rsidRPr="006213D1">
        <w:rPr>
          <w:rFonts w:ascii="Times New Roman" w:hAnsi="Times New Roman"/>
          <w:sz w:val="24"/>
          <w:szCs w:val="24"/>
        </w:rPr>
        <w:t xml:space="preserve">PREA Institutional Reference Form </w:t>
      </w:r>
    </w:p>
    <w:p w14:paraId="5DC53B15" w14:textId="77777777" w:rsidR="006213D1" w:rsidRDefault="006213D1" w:rsidP="00392248">
      <w:pPr>
        <w:spacing w:line="360" w:lineRule="auto"/>
        <w:jc w:val="both"/>
        <w:rPr>
          <w:rFonts w:ascii="Garamond" w:hAnsi="Garamond"/>
          <w:b/>
          <w:sz w:val="25"/>
          <w:szCs w:val="25"/>
        </w:rPr>
      </w:pPr>
    </w:p>
    <w:p w14:paraId="60FB3161" w14:textId="77777777" w:rsidR="002B1C4F" w:rsidRDefault="002B1C4F" w:rsidP="00392248">
      <w:pPr>
        <w:spacing w:line="360" w:lineRule="auto"/>
        <w:jc w:val="both"/>
        <w:rPr>
          <w:rFonts w:ascii="Garamond" w:hAnsi="Garamond"/>
          <w:b/>
          <w:sz w:val="25"/>
          <w:szCs w:val="25"/>
        </w:rPr>
      </w:pPr>
    </w:p>
    <w:p w14:paraId="1FA23613" w14:textId="77777777" w:rsidR="002B1C4F" w:rsidRDefault="002B1C4F" w:rsidP="00392248">
      <w:pPr>
        <w:spacing w:line="360" w:lineRule="auto"/>
        <w:jc w:val="both"/>
        <w:rPr>
          <w:rFonts w:ascii="Garamond" w:hAnsi="Garamond"/>
          <w:b/>
          <w:sz w:val="25"/>
          <w:szCs w:val="25"/>
        </w:rPr>
      </w:pPr>
    </w:p>
    <w:p w14:paraId="2D013698" w14:textId="77777777" w:rsidR="002B1C4F" w:rsidRDefault="002B1C4F" w:rsidP="00392248">
      <w:pPr>
        <w:spacing w:line="360" w:lineRule="auto"/>
        <w:jc w:val="both"/>
        <w:rPr>
          <w:rFonts w:ascii="Garamond" w:hAnsi="Garamond"/>
          <w:b/>
          <w:sz w:val="25"/>
          <w:szCs w:val="25"/>
        </w:rPr>
      </w:pPr>
    </w:p>
    <w:p w14:paraId="229827D5" w14:textId="77777777" w:rsidR="002B1C4F" w:rsidRDefault="002B1C4F" w:rsidP="00392248">
      <w:pPr>
        <w:spacing w:line="360" w:lineRule="auto"/>
        <w:jc w:val="both"/>
        <w:rPr>
          <w:rFonts w:ascii="Garamond" w:hAnsi="Garamond"/>
          <w:b/>
          <w:sz w:val="25"/>
          <w:szCs w:val="25"/>
        </w:rPr>
      </w:pPr>
    </w:p>
    <w:p w14:paraId="75C3A978" w14:textId="77777777" w:rsidR="00977954" w:rsidRPr="006213D1" w:rsidRDefault="00977954" w:rsidP="002B1C4F">
      <w:pPr>
        <w:jc w:val="both"/>
        <w:rPr>
          <w:rFonts w:ascii="Times New Roman" w:hAnsi="Times New Roman"/>
          <w:b/>
          <w:sz w:val="24"/>
          <w:szCs w:val="24"/>
        </w:rPr>
      </w:pPr>
      <w:r w:rsidRPr="006213D1">
        <w:rPr>
          <w:rFonts w:ascii="Times New Roman" w:hAnsi="Times New Roman"/>
          <w:b/>
          <w:sz w:val="24"/>
          <w:szCs w:val="24"/>
        </w:rPr>
        <w:lastRenderedPageBreak/>
        <w:t>Training</w:t>
      </w:r>
    </w:p>
    <w:p w14:paraId="6E49521C" w14:textId="77777777" w:rsidR="00DC094A" w:rsidRPr="006213D1" w:rsidRDefault="00B75366" w:rsidP="002B1C4F">
      <w:pPr>
        <w:jc w:val="both"/>
        <w:rPr>
          <w:rFonts w:ascii="Times New Roman" w:hAnsi="Times New Roman"/>
          <w:sz w:val="24"/>
          <w:szCs w:val="24"/>
        </w:rPr>
      </w:pPr>
      <w:r w:rsidRPr="006213D1">
        <w:rPr>
          <w:rFonts w:ascii="Times New Roman" w:hAnsi="Times New Roman"/>
          <w:sz w:val="24"/>
          <w:szCs w:val="24"/>
        </w:rPr>
        <w:t>SCDOC</w:t>
      </w:r>
      <w:r w:rsidR="00977954" w:rsidRPr="006213D1">
        <w:rPr>
          <w:rFonts w:ascii="Times New Roman" w:hAnsi="Times New Roman"/>
          <w:sz w:val="24"/>
          <w:szCs w:val="24"/>
        </w:rPr>
        <w:t xml:space="preserve"> employees,</w:t>
      </w:r>
      <w:r w:rsidR="004A4A3D" w:rsidRPr="006213D1">
        <w:rPr>
          <w:rFonts w:ascii="Times New Roman" w:hAnsi="Times New Roman"/>
          <w:sz w:val="24"/>
          <w:szCs w:val="24"/>
        </w:rPr>
        <w:t xml:space="preserve"> contractors</w:t>
      </w:r>
      <w:r w:rsidR="000F61BF" w:rsidRPr="006213D1">
        <w:rPr>
          <w:rFonts w:ascii="Times New Roman" w:hAnsi="Times New Roman"/>
          <w:sz w:val="24"/>
          <w:szCs w:val="24"/>
        </w:rPr>
        <w:t>,</w:t>
      </w:r>
      <w:r w:rsidR="004A4A3D" w:rsidRPr="006213D1">
        <w:rPr>
          <w:rFonts w:ascii="Times New Roman" w:hAnsi="Times New Roman"/>
          <w:sz w:val="24"/>
          <w:szCs w:val="24"/>
        </w:rPr>
        <w:t xml:space="preserve"> and volunteers receive</w:t>
      </w:r>
      <w:r w:rsidR="005E463E" w:rsidRPr="006213D1">
        <w:rPr>
          <w:rFonts w:ascii="Times New Roman" w:hAnsi="Times New Roman"/>
          <w:sz w:val="24"/>
          <w:szCs w:val="24"/>
        </w:rPr>
        <w:t xml:space="preserve"> </w:t>
      </w:r>
      <w:r w:rsidR="00977954" w:rsidRPr="006213D1">
        <w:rPr>
          <w:rFonts w:ascii="Times New Roman" w:hAnsi="Times New Roman"/>
          <w:sz w:val="24"/>
          <w:szCs w:val="24"/>
        </w:rPr>
        <w:t>PREA training a</w:t>
      </w:r>
      <w:r w:rsidR="004A4A3D" w:rsidRPr="006213D1">
        <w:rPr>
          <w:rFonts w:ascii="Times New Roman" w:hAnsi="Times New Roman"/>
          <w:sz w:val="24"/>
          <w:szCs w:val="24"/>
        </w:rPr>
        <w:t>nd policy review</w:t>
      </w:r>
      <w:r w:rsidR="00A2783E" w:rsidRPr="006213D1">
        <w:rPr>
          <w:rFonts w:ascii="Times New Roman" w:hAnsi="Times New Roman"/>
          <w:sz w:val="24"/>
          <w:szCs w:val="24"/>
        </w:rPr>
        <w:t xml:space="preserve"> prior to direct contact with the clients</w:t>
      </w:r>
      <w:r w:rsidR="004A4A3D" w:rsidRPr="006213D1">
        <w:rPr>
          <w:rFonts w:ascii="Times New Roman" w:hAnsi="Times New Roman"/>
          <w:sz w:val="24"/>
          <w:szCs w:val="24"/>
        </w:rPr>
        <w:t>.</w:t>
      </w:r>
      <w:r w:rsidR="000F61BF" w:rsidRPr="006213D1">
        <w:rPr>
          <w:rFonts w:ascii="Times New Roman" w:hAnsi="Times New Roman"/>
          <w:sz w:val="24"/>
          <w:szCs w:val="24"/>
        </w:rPr>
        <w:t xml:space="preserve"> SCDOC employees also attend a second PREA training within 60 days of their employment start date.</w:t>
      </w:r>
      <w:r w:rsidR="00DC094A" w:rsidRPr="006213D1">
        <w:rPr>
          <w:rFonts w:ascii="Times New Roman" w:hAnsi="Times New Roman"/>
          <w:sz w:val="24"/>
          <w:szCs w:val="24"/>
        </w:rPr>
        <w:t xml:space="preserve">  The training includes:</w:t>
      </w:r>
    </w:p>
    <w:p w14:paraId="0DDFDD35" w14:textId="77777777" w:rsidR="00977954" w:rsidRPr="006213D1" w:rsidRDefault="00977954" w:rsidP="002B1C4F">
      <w:pPr>
        <w:numPr>
          <w:ilvl w:val="0"/>
          <w:numId w:val="2"/>
        </w:numPr>
        <w:jc w:val="both"/>
        <w:rPr>
          <w:rFonts w:ascii="Times New Roman" w:hAnsi="Times New Roman"/>
          <w:sz w:val="24"/>
          <w:szCs w:val="24"/>
        </w:rPr>
      </w:pPr>
      <w:r w:rsidRPr="006213D1">
        <w:rPr>
          <w:rFonts w:ascii="Times New Roman" w:hAnsi="Times New Roman"/>
          <w:sz w:val="24"/>
          <w:szCs w:val="24"/>
        </w:rPr>
        <w:t xml:space="preserve">PREA </w:t>
      </w:r>
      <w:r w:rsidR="008102CD" w:rsidRPr="006213D1">
        <w:rPr>
          <w:rFonts w:ascii="Times New Roman" w:hAnsi="Times New Roman"/>
          <w:sz w:val="24"/>
          <w:szCs w:val="24"/>
        </w:rPr>
        <w:t>s</w:t>
      </w:r>
      <w:r w:rsidRPr="006213D1">
        <w:rPr>
          <w:rFonts w:ascii="Times New Roman" w:hAnsi="Times New Roman"/>
          <w:sz w:val="24"/>
          <w:szCs w:val="24"/>
        </w:rPr>
        <w:t xml:space="preserve">tandards and zero tolerance </w:t>
      </w:r>
      <w:r w:rsidR="00B732F6" w:rsidRPr="006213D1">
        <w:rPr>
          <w:rFonts w:ascii="Times New Roman" w:hAnsi="Times New Roman"/>
          <w:sz w:val="24"/>
          <w:szCs w:val="24"/>
        </w:rPr>
        <w:t>for sexual abuse and harassment;</w:t>
      </w:r>
    </w:p>
    <w:p w14:paraId="6035F66B" w14:textId="77777777" w:rsidR="00977954" w:rsidRPr="006213D1" w:rsidRDefault="00977954" w:rsidP="002B1C4F">
      <w:pPr>
        <w:numPr>
          <w:ilvl w:val="0"/>
          <w:numId w:val="2"/>
        </w:numPr>
        <w:jc w:val="both"/>
        <w:rPr>
          <w:rFonts w:ascii="Times New Roman" w:hAnsi="Times New Roman"/>
          <w:sz w:val="24"/>
          <w:szCs w:val="24"/>
        </w:rPr>
      </w:pPr>
      <w:r w:rsidRPr="006213D1">
        <w:rPr>
          <w:rFonts w:ascii="Times New Roman" w:hAnsi="Times New Roman"/>
          <w:sz w:val="24"/>
          <w:szCs w:val="24"/>
        </w:rPr>
        <w:t>Understanding and addressing Undue Familiarity</w:t>
      </w:r>
      <w:r w:rsidR="00B732F6" w:rsidRPr="006213D1">
        <w:rPr>
          <w:rFonts w:ascii="Times New Roman" w:hAnsi="Times New Roman"/>
          <w:sz w:val="24"/>
          <w:szCs w:val="24"/>
        </w:rPr>
        <w:t>;</w:t>
      </w:r>
    </w:p>
    <w:p w14:paraId="113B619B" w14:textId="77777777" w:rsidR="00977954" w:rsidRPr="006213D1" w:rsidRDefault="00977954" w:rsidP="002B1C4F">
      <w:pPr>
        <w:numPr>
          <w:ilvl w:val="0"/>
          <w:numId w:val="2"/>
        </w:numPr>
        <w:jc w:val="both"/>
        <w:rPr>
          <w:rFonts w:ascii="Times New Roman" w:hAnsi="Times New Roman"/>
          <w:sz w:val="24"/>
          <w:szCs w:val="24"/>
        </w:rPr>
      </w:pPr>
      <w:r w:rsidRPr="006213D1">
        <w:rPr>
          <w:rFonts w:ascii="Times New Roman" w:hAnsi="Times New Roman"/>
          <w:sz w:val="24"/>
          <w:szCs w:val="24"/>
        </w:rPr>
        <w:t xml:space="preserve">First responder </w:t>
      </w:r>
      <w:r w:rsidR="00A465F9" w:rsidRPr="006213D1">
        <w:rPr>
          <w:rFonts w:ascii="Times New Roman" w:hAnsi="Times New Roman"/>
          <w:sz w:val="24"/>
          <w:szCs w:val="24"/>
        </w:rPr>
        <w:t xml:space="preserve">(secure and non-secure) </w:t>
      </w:r>
      <w:r w:rsidRPr="006213D1">
        <w:rPr>
          <w:rFonts w:ascii="Times New Roman" w:hAnsi="Times New Roman"/>
          <w:sz w:val="24"/>
          <w:szCs w:val="24"/>
        </w:rPr>
        <w:t>expectations</w:t>
      </w:r>
      <w:r w:rsidR="00B732F6" w:rsidRPr="006213D1">
        <w:rPr>
          <w:rFonts w:ascii="Times New Roman" w:hAnsi="Times New Roman"/>
          <w:sz w:val="24"/>
          <w:szCs w:val="24"/>
        </w:rPr>
        <w:t>;</w:t>
      </w:r>
    </w:p>
    <w:p w14:paraId="2E1C3F04" w14:textId="77777777" w:rsidR="00977954" w:rsidRPr="006213D1" w:rsidRDefault="00977954" w:rsidP="002B1C4F">
      <w:pPr>
        <w:numPr>
          <w:ilvl w:val="0"/>
          <w:numId w:val="2"/>
        </w:numPr>
        <w:jc w:val="both"/>
        <w:rPr>
          <w:rFonts w:ascii="Times New Roman" w:hAnsi="Times New Roman"/>
          <w:sz w:val="24"/>
          <w:szCs w:val="24"/>
        </w:rPr>
      </w:pPr>
      <w:r w:rsidRPr="006213D1">
        <w:rPr>
          <w:rFonts w:ascii="Times New Roman" w:hAnsi="Times New Roman"/>
          <w:sz w:val="24"/>
          <w:szCs w:val="24"/>
        </w:rPr>
        <w:t>LGBT</w:t>
      </w:r>
      <w:r w:rsidR="004A4A3D" w:rsidRPr="006213D1">
        <w:rPr>
          <w:rFonts w:ascii="Times New Roman" w:hAnsi="Times New Roman"/>
          <w:sz w:val="24"/>
          <w:szCs w:val="24"/>
        </w:rPr>
        <w:t>Q</w:t>
      </w:r>
      <w:r w:rsidRPr="006213D1">
        <w:rPr>
          <w:rFonts w:ascii="Times New Roman" w:hAnsi="Times New Roman"/>
          <w:sz w:val="24"/>
          <w:szCs w:val="24"/>
        </w:rPr>
        <w:t>I</w:t>
      </w:r>
      <w:r w:rsidR="004A4A3D" w:rsidRPr="006213D1">
        <w:rPr>
          <w:rFonts w:ascii="Times New Roman" w:hAnsi="Times New Roman"/>
          <w:sz w:val="24"/>
          <w:szCs w:val="24"/>
        </w:rPr>
        <w:t xml:space="preserve"> (Lesbian, Gay, Bisexual, Transgender, Questioning, Intersex)</w:t>
      </w:r>
      <w:r w:rsidRPr="006213D1">
        <w:rPr>
          <w:rFonts w:ascii="Times New Roman" w:hAnsi="Times New Roman"/>
          <w:sz w:val="24"/>
          <w:szCs w:val="24"/>
        </w:rPr>
        <w:t xml:space="preserve"> and victimization</w:t>
      </w:r>
      <w:r w:rsidR="00B732F6" w:rsidRPr="006213D1">
        <w:rPr>
          <w:rFonts w:ascii="Times New Roman" w:hAnsi="Times New Roman"/>
          <w:sz w:val="24"/>
          <w:szCs w:val="24"/>
        </w:rPr>
        <w:t>;</w:t>
      </w:r>
    </w:p>
    <w:p w14:paraId="0CAA4FC7" w14:textId="77777777" w:rsidR="00977954" w:rsidRPr="006213D1" w:rsidRDefault="00977954" w:rsidP="002B1C4F">
      <w:pPr>
        <w:numPr>
          <w:ilvl w:val="0"/>
          <w:numId w:val="2"/>
        </w:numPr>
        <w:jc w:val="both"/>
        <w:rPr>
          <w:rFonts w:ascii="Times New Roman" w:hAnsi="Times New Roman"/>
          <w:sz w:val="24"/>
          <w:szCs w:val="24"/>
        </w:rPr>
      </w:pPr>
      <w:r w:rsidRPr="006213D1">
        <w:rPr>
          <w:rFonts w:ascii="Times New Roman" w:hAnsi="Times New Roman"/>
          <w:sz w:val="24"/>
          <w:szCs w:val="24"/>
        </w:rPr>
        <w:t>Recognizing the physical, behavioral and emotional signs of sexual assault</w:t>
      </w:r>
      <w:r w:rsidR="00B732F6" w:rsidRPr="006213D1">
        <w:rPr>
          <w:rFonts w:ascii="Times New Roman" w:hAnsi="Times New Roman"/>
          <w:sz w:val="24"/>
          <w:szCs w:val="24"/>
        </w:rPr>
        <w:t>.</w:t>
      </w:r>
    </w:p>
    <w:p w14:paraId="7CC3382A" w14:textId="27E22FCB" w:rsidR="00ED22A6" w:rsidRPr="006213D1" w:rsidRDefault="00611B51" w:rsidP="002B1C4F">
      <w:pPr>
        <w:jc w:val="both"/>
        <w:rPr>
          <w:rFonts w:ascii="Times New Roman" w:hAnsi="Times New Roman"/>
          <w:sz w:val="24"/>
          <w:szCs w:val="24"/>
        </w:rPr>
      </w:pPr>
      <w:r w:rsidRPr="006213D1">
        <w:rPr>
          <w:rFonts w:ascii="Times New Roman" w:hAnsi="Times New Roman"/>
          <w:sz w:val="24"/>
          <w:szCs w:val="24"/>
        </w:rPr>
        <w:t>The Internal Investigations policy</w:t>
      </w:r>
      <w:r w:rsidR="006213D1" w:rsidRPr="006213D1">
        <w:rPr>
          <w:rFonts w:ascii="Times New Roman" w:hAnsi="Times New Roman"/>
          <w:sz w:val="24"/>
          <w:szCs w:val="24"/>
        </w:rPr>
        <w:t xml:space="preserve"> </w:t>
      </w:r>
      <w:r w:rsidRPr="006213D1">
        <w:rPr>
          <w:rFonts w:ascii="Times New Roman" w:hAnsi="Times New Roman"/>
          <w:sz w:val="24"/>
          <w:szCs w:val="24"/>
        </w:rPr>
        <w:t xml:space="preserve">requires all </w:t>
      </w:r>
      <w:r w:rsidR="00CE24B5" w:rsidRPr="006213D1">
        <w:rPr>
          <w:rFonts w:ascii="Times New Roman" w:hAnsi="Times New Roman"/>
          <w:sz w:val="24"/>
          <w:szCs w:val="24"/>
        </w:rPr>
        <w:t xml:space="preserve">PREA investigators </w:t>
      </w:r>
      <w:r w:rsidRPr="006213D1">
        <w:rPr>
          <w:rFonts w:ascii="Times New Roman" w:hAnsi="Times New Roman"/>
          <w:sz w:val="24"/>
          <w:szCs w:val="24"/>
        </w:rPr>
        <w:t xml:space="preserve">to complete the </w:t>
      </w:r>
      <w:r w:rsidR="00A233EC" w:rsidRPr="006213D1">
        <w:rPr>
          <w:rFonts w:ascii="Times New Roman" w:hAnsi="Times New Roman"/>
          <w:i/>
          <w:sz w:val="24"/>
          <w:szCs w:val="24"/>
        </w:rPr>
        <w:t>N</w:t>
      </w:r>
      <w:r w:rsidR="004F426C" w:rsidRPr="006213D1">
        <w:rPr>
          <w:rFonts w:ascii="Times New Roman" w:hAnsi="Times New Roman"/>
          <w:i/>
          <w:sz w:val="24"/>
          <w:szCs w:val="24"/>
        </w:rPr>
        <w:t xml:space="preserve">ational </w:t>
      </w:r>
      <w:r w:rsidR="00A233EC" w:rsidRPr="006213D1">
        <w:rPr>
          <w:rFonts w:ascii="Times New Roman" w:hAnsi="Times New Roman"/>
          <w:i/>
          <w:sz w:val="24"/>
          <w:szCs w:val="24"/>
        </w:rPr>
        <w:t>I</w:t>
      </w:r>
      <w:r w:rsidR="004F426C" w:rsidRPr="006213D1">
        <w:rPr>
          <w:rFonts w:ascii="Times New Roman" w:hAnsi="Times New Roman"/>
          <w:i/>
          <w:sz w:val="24"/>
          <w:szCs w:val="24"/>
        </w:rPr>
        <w:t xml:space="preserve">nstitute of </w:t>
      </w:r>
      <w:r w:rsidR="00A233EC" w:rsidRPr="006213D1">
        <w:rPr>
          <w:rFonts w:ascii="Times New Roman" w:hAnsi="Times New Roman"/>
          <w:i/>
          <w:sz w:val="24"/>
          <w:szCs w:val="24"/>
        </w:rPr>
        <w:t>C</w:t>
      </w:r>
      <w:r w:rsidR="004F426C" w:rsidRPr="006213D1">
        <w:rPr>
          <w:rFonts w:ascii="Times New Roman" w:hAnsi="Times New Roman"/>
          <w:i/>
          <w:sz w:val="24"/>
          <w:szCs w:val="24"/>
        </w:rPr>
        <w:t>orrections (NIC)</w:t>
      </w:r>
      <w:r w:rsidR="00A233EC" w:rsidRPr="006213D1">
        <w:rPr>
          <w:rFonts w:ascii="Times New Roman" w:hAnsi="Times New Roman"/>
          <w:i/>
          <w:sz w:val="24"/>
          <w:szCs w:val="24"/>
        </w:rPr>
        <w:t>: PREA Investigating Sexual Abuse in a Con</w:t>
      </w:r>
      <w:r w:rsidR="00182A51" w:rsidRPr="006213D1">
        <w:rPr>
          <w:rFonts w:ascii="Times New Roman" w:hAnsi="Times New Roman"/>
          <w:i/>
          <w:sz w:val="24"/>
          <w:szCs w:val="24"/>
        </w:rPr>
        <w:t>finement Setting</w:t>
      </w:r>
      <w:r w:rsidR="00182A51" w:rsidRPr="006213D1">
        <w:rPr>
          <w:rFonts w:ascii="Times New Roman" w:hAnsi="Times New Roman"/>
          <w:sz w:val="24"/>
          <w:szCs w:val="24"/>
        </w:rPr>
        <w:t xml:space="preserve"> and the department’s</w:t>
      </w:r>
      <w:r w:rsidR="008708AA" w:rsidRPr="006213D1">
        <w:rPr>
          <w:rFonts w:ascii="Times New Roman" w:hAnsi="Times New Roman"/>
          <w:sz w:val="24"/>
          <w:szCs w:val="24"/>
        </w:rPr>
        <w:t xml:space="preserve"> </w:t>
      </w:r>
      <w:r w:rsidR="00182A51" w:rsidRPr="006213D1">
        <w:rPr>
          <w:rFonts w:ascii="Times New Roman" w:hAnsi="Times New Roman"/>
          <w:i/>
          <w:sz w:val="24"/>
          <w:szCs w:val="24"/>
        </w:rPr>
        <w:t>Conducting Internal Investigations</w:t>
      </w:r>
      <w:r w:rsidR="008708AA" w:rsidRPr="006213D1">
        <w:rPr>
          <w:rFonts w:ascii="Times New Roman" w:hAnsi="Times New Roman"/>
          <w:sz w:val="24"/>
          <w:szCs w:val="24"/>
        </w:rPr>
        <w:t xml:space="preserve"> </w:t>
      </w:r>
      <w:r w:rsidR="00182A51" w:rsidRPr="006213D1">
        <w:rPr>
          <w:rFonts w:ascii="Times New Roman" w:hAnsi="Times New Roman"/>
          <w:sz w:val="24"/>
          <w:szCs w:val="24"/>
        </w:rPr>
        <w:t xml:space="preserve">training within one year of being hired or promoted.  Both requirements must be fulfilled before a supervisor can be assigned to conduct </w:t>
      </w:r>
      <w:r w:rsidR="00A2783E" w:rsidRPr="006213D1">
        <w:rPr>
          <w:rFonts w:ascii="Times New Roman" w:hAnsi="Times New Roman"/>
          <w:sz w:val="24"/>
          <w:szCs w:val="24"/>
        </w:rPr>
        <w:t>a</w:t>
      </w:r>
      <w:r w:rsidR="00182A51" w:rsidRPr="006213D1">
        <w:rPr>
          <w:rFonts w:ascii="Times New Roman" w:hAnsi="Times New Roman"/>
          <w:sz w:val="24"/>
          <w:szCs w:val="24"/>
        </w:rPr>
        <w:t xml:space="preserve"> PREA investigation. </w:t>
      </w:r>
      <w:r w:rsidR="000033EF" w:rsidRPr="006213D1">
        <w:rPr>
          <w:rFonts w:ascii="Times New Roman" w:hAnsi="Times New Roman"/>
          <w:sz w:val="24"/>
          <w:szCs w:val="24"/>
        </w:rPr>
        <w:t xml:space="preserve"> The department held two, in-person, </w:t>
      </w:r>
      <w:r w:rsidR="000033EF" w:rsidRPr="006213D1">
        <w:rPr>
          <w:rFonts w:ascii="Times New Roman" w:hAnsi="Times New Roman"/>
          <w:i/>
          <w:sz w:val="24"/>
          <w:szCs w:val="24"/>
        </w:rPr>
        <w:t>Conducting Internal Investigations</w:t>
      </w:r>
      <w:r w:rsidR="000033EF" w:rsidRPr="006213D1">
        <w:rPr>
          <w:rFonts w:ascii="Times New Roman" w:hAnsi="Times New Roman"/>
          <w:sz w:val="24"/>
          <w:szCs w:val="24"/>
        </w:rPr>
        <w:t xml:space="preserve"> trainings on </w:t>
      </w:r>
      <w:r w:rsidR="00527D00" w:rsidRPr="006213D1">
        <w:rPr>
          <w:rFonts w:ascii="Times New Roman" w:hAnsi="Times New Roman"/>
          <w:sz w:val="24"/>
          <w:szCs w:val="24"/>
        </w:rPr>
        <w:t>April 10, 2024</w:t>
      </w:r>
      <w:r w:rsidR="000033EF" w:rsidRPr="006213D1">
        <w:rPr>
          <w:rFonts w:ascii="Times New Roman" w:hAnsi="Times New Roman"/>
          <w:sz w:val="24"/>
          <w:szCs w:val="24"/>
        </w:rPr>
        <w:t xml:space="preserve">, and </w:t>
      </w:r>
      <w:r w:rsidR="00527D00" w:rsidRPr="006213D1">
        <w:rPr>
          <w:rFonts w:ascii="Times New Roman" w:hAnsi="Times New Roman"/>
          <w:sz w:val="24"/>
          <w:szCs w:val="24"/>
        </w:rPr>
        <w:t>September 11, 2024</w:t>
      </w:r>
      <w:r w:rsidR="000033EF" w:rsidRPr="006213D1">
        <w:rPr>
          <w:rFonts w:ascii="Times New Roman" w:hAnsi="Times New Roman"/>
          <w:sz w:val="24"/>
          <w:szCs w:val="24"/>
        </w:rPr>
        <w:t>.</w:t>
      </w:r>
      <w:r w:rsidR="000C7EB7" w:rsidRPr="006213D1">
        <w:rPr>
          <w:rFonts w:ascii="Times New Roman" w:hAnsi="Times New Roman"/>
          <w:sz w:val="24"/>
          <w:szCs w:val="24"/>
        </w:rPr>
        <w:t xml:space="preserve"> </w:t>
      </w:r>
      <w:r w:rsidR="003740E2" w:rsidRPr="006213D1">
        <w:rPr>
          <w:rFonts w:ascii="Times New Roman" w:hAnsi="Times New Roman"/>
          <w:sz w:val="24"/>
          <w:szCs w:val="24"/>
        </w:rPr>
        <w:t xml:space="preserve">  </w:t>
      </w:r>
    </w:p>
    <w:p w14:paraId="684EB045" w14:textId="7444938D" w:rsidR="00ED22A6" w:rsidRPr="006213D1" w:rsidRDefault="00775B0E" w:rsidP="002B1C4F">
      <w:pPr>
        <w:jc w:val="both"/>
        <w:rPr>
          <w:rFonts w:ascii="Times New Roman" w:hAnsi="Times New Roman"/>
          <w:sz w:val="24"/>
          <w:szCs w:val="24"/>
        </w:rPr>
      </w:pPr>
      <w:r w:rsidRPr="006213D1">
        <w:rPr>
          <w:rFonts w:ascii="Times New Roman" w:hAnsi="Times New Roman"/>
          <w:sz w:val="24"/>
          <w:szCs w:val="24"/>
        </w:rPr>
        <w:t>It is a practice that a</w:t>
      </w:r>
      <w:r w:rsidR="006D3CCC" w:rsidRPr="006213D1">
        <w:rPr>
          <w:rFonts w:ascii="Times New Roman" w:hAnsi="Times New Roman"/>
          <w:sz w:val="24"/>
          <w:szCs w:val="24"/>
        </w:rPr>
        <w:t xml:space="preserve">ll </w:t>
      </w:r>
      <w:r w:rsidR="00C60A71" w:rsidRPr="006213D1">
        <w:rPr>
          <w:rFonts w:ascii="Times New Roman" w:hAnsi="Times New Roman"/>
          <w:sz w:val="24"/>
          <w:szCs w:val="24"/>
        </w:rPr>
        <w:t xml:space="preserve">SCDOC </w:t>
      </w:r>
      <w:r w:rsidR="006D3CCC" w:rsidRPr="006213D1">
        <w:rPr>
          <w:rFonts w:ascii="Times New Roman" w:hAnsi="Times New Roman"/>
          <w:sz w:val="24"/>
          <w:szCs w:val="24"/>
        </w:rPr>
        <w:t>Mental Health Professionals</w:t>
      </w:r>
      <w:r w:rsidR="00ED22A6" w:rsidRPr="006213D1">
        <w:rPr>
          <w:rFonts w:ascii="Times New Roman" w:hAnsi="Times New Roman"/>
          <w:sz w:val="24"/>
          <w:szCs w:val="24"/>
        </w:rPr>
        <w:t xml:space="preserve"> </w:t>
      </w:r>
      <w:r w:rsidR="009456CA" w:rsidRPr="006213D1">
        <w:rPr>
          <w:rFonts w:ascii="Times New Roman" w:hAnsi="Times New Roman"/>
          <w:sz w:val="24"/>
          <w:szCs w:val="24"/>
        </w:rPr>
        <w:t>and t</w:t>
      </w:r>
      <w:r w:rsidR="00ED22A6" w:rsidRPr="006213D1">
        <w:rPr>
          <w:rFonts w:ascii="Times New Roman" w:hAnsi="Times New Roman"/>
          <w:sz w:val="24"/>
          <w:szCs w:val="24"/>
        </w:rPr>
        <w:t>he contracted healthcare provider</w:t>
      </w:r>
      <w:r w:rsidR="009456CA" w:rsidRPr="006213D1">
        <w:rPr>
          <w:rFonts w:ascii="Times New Roman" w:hAnsi="Times New Roman"/>
          <w:sz w:val="24"/>
          <w:szCs w:val="24"/>
        </w:rPr>
        <w:t xml:space="preserve"> </w:t>
      </w:r>
      <w:r w:rsidR="008708AA" w:rsidRPr="006213D1">
        <w:rPr>
          <w:rFonts w:ascii="Times New Roman" w:hAnsi="Times New Roman"/>
          <w:sz w:val="24"/>
          <w:szCs w:val="24"/>
        </w:rPr>
        <w:t>for the Juvenile Residential Facility (JRF) and Juvenile Detention Facility</w:t>
      </w:r>
      <w:r w:rsidR="00ED22A6" w:rsidRPr="006213D1">
        <w:rPr>
          <w:rFonts w:ascii="Times New Roman" w:hAnsi="Times New Roman"/>
          <w:sz w:val="24"/>
          <w:szCs w:val="24"/>
        </w:rPr>
        <w:t xml:space="preserve"> </w:t>
      </w:r>
      <w:r w:rsidR="008708AA" w:rsidRPr="006213D1">
        <w:rPr>
          <w:rFonts w:ascii="Times New Roman" w:hAnsi="Times New Roman"/>
          <w:sz w:val="24"/>
          <w:szCs w:val="24"/>
        </w:rPr>
        <w:t>(</w:t>
      </w:r>
      <w:r w:rsidR="00ED22A6" w:rsidRPr="006213D1">
        <w:rPr>
          <w:rFonts w:ascii="Times New Roman" w:hAnsi="Times New Roman"/>
          <w:sz w:val="24"/>
          <w:szCs w:val="24"/>
        </w:rPr>
        <w:t>JDF</w:t>
      </w:r>
      <w:r w:rsidR="008708AA" w:rsidRPr="006213D1">
        <w:rPr>
          <w:rFonts w:ascii="Times New Roman" w:hAnsi="Times New Roman"/>
          <w:sz w:val="24"/>
          <w:szCs w:val="24"/>
        </w:rPr>
        <w:t>)</w:t>
      </w:r>
      <w:r w:rsidR="009456CA" w:rsidRPr="006213D1">
        <w:rPr>
          <w:rFonts w:ascii="Times New Roman" w:hAnsi="Times New Roman"/>
          <w:sz w:val="24"/>
          <w:szCs w:val="24"/>
        </w:rPr>
        <w:t xml:space="preserve"> complete the </w:t>
      </w:r>
      <w:r w:rsidR="009456CA" w:rsidRPr="006213D1">
        <w:rPr>
          <w:rFonts w:ascii="Times New Roman" w:hAnsi="Times New Roman"/>
          <w:i/>
          <w:sz w:val="24"/>
          <w:szCs w:val="24"/>
        </w:rPr>
        <w:t>NIC: PREA Medical Health Care for Sexual Assault V</w:t>
      </w:r>
      <w:r w:rsidRPr="006213D1">
        <w:rPr>
          <w:rFonts w:ascii="Times New Roman" w:hAnsi="Times New Roman"/>
          <w:i/>
          <w:sz w:val="24"/>
          <w:szCs w:val="24"/>
        </w:rPr>
        <w:t>ictims in a Confinement Setting</w:t>
      </w:r>
      <w:r w:rsidRPr="006213D1">
        <w:rPr>
          <w:rFonts w:ascii="Times New Roman" w:hAnsi="Times New Roman"/>
          <w:sz w:val="24"/>
          <w:szCs w:val="24"/>
        </w:rPr>
        <w:t>.</w:t>
      </w:r>
    </w:p>
    <w:p w14:paraId="2DCD4193" w14:textId="5CD422EB" w:rsidR="00D36328" w:rsidRPr="006213D1" w:rsidRDefault="00D36328" w:rsidP="002B1C4F">
      <w:pPr>
        <w:spacing w:after="0"/>
        <w:jc w:val="both"/>
        <w:rPr>
          <w:rFonts w:ascii="Times New Roman" w:hAnsi="Times New Roman"/>
          <w:sz w:val="24"/>
          <w:szCs w:val="24"/>
        </w:rPr>
      </w:pPr>
      <w:r w:rsidRPr="006213D1">
        <w:rPr>
          <w:rFonts w:ascii="Times New Roman" w:hAnsi="Times New Roman"/>
          <w:sz w:val="24"/>
          <w:szCs w:val="24"/>
        </w:rPr>
        <w:t xml:space="preserve">PREA Refresher </w:t>
      </w:r>
      <w:r w:rsidR="00E0428D" w:rsidRPr="006213D1">
        <w:rPr>
          <w:rFonts w:ascii="Times New Roman" w:hAnsi="Times New Roman"/>
          <w:sz w:val="24"/>
          <w:szCs w:val="24"/>
        </w:rPr>
        <w:t>t</w:t>
      </w:r>
      <w:r w:rsidRPr="006213D1">
        <w:rPr>
          <w:rFonts w:ascii="Times New Roman" w:hAnsi="Times New Roman"/>
          <w:sz w:val="24"/>
          <w:szCs w:val="24"/>
        </w:rPr>
        <w:t xml:space="preserve">raining handouts were </w:t>
      </w:r>
      <w:r w:rsidR="004F426C" w:rsidRPr="006213D1">
        <w:rPr>
          <w:rFonts w:ascii="Times New Roman" w:hAnsi="Times New Roman"/>
          <w:sz w:val="24"/>
          <w:szCs w:val="24"/>
        </w:rPr>
        <w:t>developed</w:t>
      </w:r>
      <w:r w:rsidR="001B6993" w:rsidRPr="006213D1">
        <w:rPr>
          <w:rFonts w:ascii="Times New Roman" w:hAnsi="Times New Roman"/>
          <w:sz w:val="24"/>
          <w:szCs w:val="24"/>
        </w:rPr>
        <w:t xml:space="preserve"> for</w:t>
      </w:r>
      <w:r w:rsidRPr="006213D1">
        <w:rPr>
          <w:rFonts w:ascii="Times New Roman" w:hAnsi="Times New Roman"/>
          <w:sz w:val="24"/>
          <w:szCs w:val="24"/>
        </w:rPr>
        <w:t xml:space="preserve"> JR</w:t>
      </w:r>
      <w:r w:rsidR="004F426C" w:rsidRPr="006213D1">
        <w:rPr>
          <w:rFonts w:ascii="Times New Roman" w:hAnsi="Times New Roman"/>
          <w:sz w:val="24"/>
          <w:szCs w:val="24"/>
        </w:rPr>
        <w:t>F, J</w:t>
      </w:r>
      <w:r w:rsidRPr="006213D1">
        <w:rPr>
          <w:rFonts w:ascii="Times New Roman" w:hAnsi="Times New Roman"/>
          <w:sz w:val="24"/>
          <w:szCs w:val="24"/>
        </w:rPr>
        <w:t xml:space="preserve">DF and </w:t>
      </w:r>
      <w:r w:rsidR="00213510" w:rsidRPr="006213D1">
        <w:rPr>
          <w:rFonts w:ascii="Times New Roman" w:hAnsi="Times New Roman"/>
          <w:sz w:val="24"/>
          <w:szCs w:val="24"/>
        </w:rPr>
        <w:t xml:space="preserve">the </w:t>
      </w:r>
      <w:r w:rsidRPr="006213D1">
        <w:rPr>
          <w:rFonts w:ascii="Times New Roman" w:hAnsi="Times New Roman"/>
          <w:sz w:val="24"/>
          <w:szCs w:val="24"/>
        </w:rPr>
        <w:t>Adult Residential and Work Release</w:t>
      </w:r>
      <w:r w:rsidR="00DC094A" w:rsidRPr="006213D1">
        <w:rPr>
          <w:rFonts w:ascii="Times New Roman" w:hAnsi="Times New Roman"/>
          <w:sz w:val="24"/>
          <w:szCs w:val="24"/>
        </w:rPr>
        <w:t xml:space="preserve"> (ARES/WR)</w:t>
      </w:r>
      <w:r w:rsidRPr="006213D1">
        <w:rPr>
          <w:rFonts w:ascii="Times New Roman" w:hAnsi="Times New Roman"/>
          <w:sz w:val="24"/>
          <w:szCs w:val="24"/>
        </w:rPr>
        <w:t xml:space="preserve"> program</w:t>
      </w:r>
      <w:r w:rsidR="00C000B2" w:rsidRPr="006213D1">
        <w:rPr>
          <w:rFonts w:ascii="Times New Roman" w:hAnsi="Times New Roman"/>
          <w:sz w:val="24"/>
          <w:szCs w:val="24"/>
        </w:rPr>
        <w:t xml:space="preserve"> in 2019 and continue to be an educational resource for staff</w:t>
      </w:r>
      <w:r w:rsidRPr="006213D1">
        <w:rPr>
          <w:rFonts w:ascii="Times New Roman" w:hAnsi="Times New Roman"/>
          <w:sz w:val="24"/>
          <w:szCs w:val="24"/>
        </w:rPr>
        <w:t xml:space="preserve">.  These handouts are aimed at building staff capacity to fulfill their duties under the PREA standards. </w:t>
      </w:r>
      <w:r w:rsidR="004F426C" w:rsidRPr="006213D1">
        <w:rPr>
          <w:rFonts w:ascii="Times New Roman" w:hAnsi="Times New Roman"/>
          <w:sz w:val="24"/>
          <w:szCs w:val="24"/>
        </w:rPr>
        <w:t xml:space="preserve"> </w:t>
      </w:r>
      <w:r w:rsidRPr="006213D1">
        <w:rPr>
          <w:rFonts w:ascii="Times New Roman" w:hAnsi="Times New Roman"/>
          <w:sz w:val="24"/>
          <w:szCs w:val="24"/>
        </w:rPr>
        <w:t>Each handout covers a specific topic related to prevention</w:t>
      </w:r>
      <w:r w:rsidR="00DC094A" w:rsidRPr="006213D1">
        <w:rPr>
          <w:rFonts w:ascii="Times New Roman" w:hAnsi="Times New Roman"/>
          <w:sz w:val="24"/>
          <w:szCs w:val="24"/>
        </w:rPr>
        <w:t>, intervention</w:t>
      </w:r>
      <w:r w:rsidRPr="006213D1">
        <w:rPr>
          <w:rFonts w:ascii="Times New Roman" w:hAnsi="Times New Roman"/>
          <w:sz w:val="24"/>
          <w:szCs w:val="24"/>
        </w:rPr>
        <w:t xml:space="preserve"> and response.  </w:t>
      </w:r>
      <w:r w:rsidR="004F426C" w:rsidRPr="006213D1">
        <w:rPr>
          <w:rFonts w:ascii="Times New Roman" w:hAnsi="Times New Roman"/>
          <w:sz w:val="24"/>
          <w:szCs w:val="24"/>
        </w:rPr>
        <w:t xml:space="preserve">There are 13 </w:t>
      </w:r>
      <w:r w:rsidR="006213D1" w:rsidRPr="006213D1">
        <w:rPr>
          <w:rFonts w:ascii="Times New Roman" w:hAnsi="Times New Roman"/>
          <w:sz w:val="24"/>
          <w:szCs w:val="24"/>
        </w:rPr>
        <w:t>r</w:t>
      </w:r>
      <w:r w:rsidR="004F426C" w:rsidRPr="006213D1">
        <w:rPr>
          <w:rFonts w:ascii="Times New Roman" w:hAnsi="Times New Roman"/>
          <w:sz w:val="24"/>
          <w:szCs w:val="24"/>
        </w:rPr>
        <w:t>efresher handouts</w:t>
      </w:r>
      <w:r w:rsidRPr="006213D1">
        <w:rPr>
          <w:rFonts w:ascii="Times New Roman" w:hAnsi="Times New Roman"/>
          <w:sz w:val="24"/>
          <w:szCs w:val="24"/>
        </w:rPr>
        <w:t xml:space="preserve"> </w:t>
      </w:r>
      <w:r w:rsidR="004F426C" w:rsidRPr="006213D1">
        <w:rPr>
          <w:rFonts w:ascii="Times New Roman" w:hAnsi="Times New Roman"/>
          <w:sz w:val="24"/>
          <w:szCs w:val="24"/>
        </w:rPr>
        <w:t>that</w:t>
      </w:r>
      <w:r w:rsidR="00092D17" w:rsidRPr="006213D1">
        <w:rPr>
          <w:rFonts w:ascii="Times New Roman" w:hAnsi="Times New Roman"/>
          <w:sz w:val="24"/>
          <w:szCs w:val="24"/>
        </w:rPr>
        <w:t xml:space="preserve"> are available for</w:t>
      </w:r>
      <w:r w:rsidR="004F426C" w:rsidRPr="006213D1">
        <w:rPr>
          <w:rFonts w:ascii="Times New Roman" w:hAnsi="Times New Roman"/>
          <w:sz w:val="24"/>
          <w:szCs w:val="24"/>
        </w:rPr>
        <w:t xml:space="preserve"> </w:t>
      </w:r>
      <w:r w:rsidR="00092D17" w:rsidRPr="006213D1">
        <w:rPr>
          <w:rFonts w:ascii="Times New Roman" w:hAnsi="Times New Roman"/>
          <w:sz w:val="24"/>
          <w:szCs w:val="24"/>
        </w:rPr>
        <w:t>review at</w:t>
      </w:r>
      <w:r w:rsidR="000C7EB7" w:rsidRPr="006213D1">
        <w:rPr>
          <w:rFonts w:ascii="Times New Roman" w:hAnsi="Times New Roman"/>
          <w:sz w:val="24"/>
          <w:szCs w:val="24"/>
        </w:rPr>
        <w:t xml:space="preserve"> </w:t>
      </w:r>
      <w:r w:rsidR="00281C85" w:rsidRPr="006213D1">
        <w:rPr>
          <w:rFonts w:ascii="Times New Roman" w:hAnsi="Times New Roman"/>
          <w:sz w:val="24"/>
          <w:szCs w:val="24"/>
        </w:rPr>
        <w:t xml:space="preserve">JRF, JDF, and </w:t>
      </w:r>
      <w:r w:rsidR="000C7EB7" w:rsidRPr="006213D1">
        <w:rPr>
          <w:rFonts w:ascii="Times New Roman" w:hAnsi="Times New Roman"/>
          <w:sz w:val="24"/>
          <w:szCs w:val="24"/>
        </w:rPr>
        <w:t xml:space="preserve">ARES/WR </w:t>
      </w:r>
      <w:r w:rsidRPr="006213D1">
        <w:rPr>
          <w:rFonts w:ascii="Times New Roman" w:hAnsi="Times New Roman"/>
          <w:sz w:val="24"/>
          <w:szCs w:val="24"/>
        </w:rPr>
        <w:t>with direct care staff and their supervisors</w:t>
      </w:r>
      <w:r w:rsidR="000F61BF" w:rsidRPr="006213D1">
        <w:rPr>
          <w:rFonts w:ascii="Times New Roman" w:hAnsi="Times New Roman"/>
          <w:sz w:val="24"/>
          <w:szCs w:val="24"/>
        </w:rPr>
        <w:t xml:space="preserve">. Additionally, all SCDOC employees, contractors, and volunteers receive an annual </w:t>
      </w:r>
      <w:r w:rsidR="006213D1" w:rsidRPr="006213D1">
        <w:rPr>
          <w:rFonts w:ascii="Times New Roman" w:hAnsi="Times New Roman"/>
          <w:sz w:val="24"/>
          <w:szCs w:val="24"/>
        </w:rPr>
        <w:t>r</w:t>
      </w:r>
      <w:r w:rsidR="000F61BF" w:rsidRPr="006213D1">
        <w:rPr>
          <w:rFonts w:ascii="Times New Roman" w:hAnsi="Times New Roman"/>
          <w:sz w:val="24"/>
          <w:szCs w:val="24"/>
        </w:rPr>
        <w:t>efresher training.</w:t>
      </w:r>
    </w:p>
    <w:p w14:paraId="36597D91" w14:textId="77777777" w:rsidR="00B75366" w:rsidRPr="002B1C4F" w:rsidRDefault="00B75366" w:rsidP="00392248">
      <w:pPr>
        <w:spacing w:after="0" w:line="360" w:lineRule="auto"/>
        <w:jc w:val="both"/>
        <w:rPr>
          <w:rFonts w:ascii="Garamond" w:hAnsi="Garamond"/>
          <w:sz w:val="18"/>
          <w:szCs w:val="25"/>
        </w:rPr>
      </w:pPr>
    </w:p>
    <w:tbl>
      <w:tblPr>
        <w:tblW w:w="5000" w:type="pct"/>
        <w:jc w:val="center"/>
        <w:tblCellMar>
          <w:left w:w="120" w:type="dxa"/>
          <w:right w:w="120" w:type="dxa"/>
        </w:tblCellMar>
        <w:tblLook w:val="0000" w:firstRow="0" w:lastRow="0" w:firstColumn="0" w:lastColumn="0" w:noHBand="0" w:noVBand="0"/>
      </w:tblPr>
      <w:tblGrid>
        <w:gridCol w:w="8731"/>
        <w:gridCol w:w="2051"/>
      </w:tblGrid>
      <w:tr w:rsidR="00821C00" w:rsidRPr="006213D1" w14:paraId="5B9DFAFC" w14:textId="77777777" w:rsidTr="000961B0">
        <w:trPr>
          <w:cantSplit/>
          <w:trHeight w:val="343"/>
          <w:jc w:val="center"/>
        </w:trPr>
        <w:tc>
          <w:tcPr>
            <w:tcW w:w="4049" w:type="pct"/>
            <w:tcBorders>
              <w:top w:val="single" w:sz="7" w:space="0" w:color="000000"/>
              <w:left w:val="single" w:sz="7" w:space="0" w:color="000000"/>
              <w:bottom w:val="single" w:sz="7" w:space="0" w:color="000000"/>
              <w:right w:val="single" w:sz="7" w:space="0" w:color="000000"/>
            </w:tcBorders>
            <w:vAlign w:val="center"/>
          </w:tcPr>
          <w:p w14:paraId="7C47BEFE" w14:textId="4C0B3C22" w:rsidR="00821C00" w:rsidRPr="006213D1" w:rsidRDefault="002B1C4F" w:rsidP="002B1C4F">
            <w:pPr>
              <w:pStyle w:val="ListParagraph"/>
              <w:widowControl w:val="0"/>
              <w:autoSpaceDE w:val="0"/>
              <w:autoSpaceDN w:val="0"/>
              <w:adjustRightInd w:val="0"/>
              <w:spacing w:after="58"/>
              <w:ind w:left="1446"/>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P</w:t>
            </w:r>
            <w:r w:rsidR="00821C00" w:rsidRPr="006213D1">
              <w:rPr>
                <w:rFonts w:ascii="Times New Roman" w:eastAsia="Times New Roman" w:hAnsi="Times New Roman"/>
                <w:b/>
                <w:color w:val="000000"/>
                <w:sz w:val="24"/>
                <w:szCs w:val="24"/>
              </w:rPr>
              <w:t>erformance Measures</w:t>
            </w:r>
          </w:p>
        </w:tc>
        <w:tc>
          <w:tcPr>
            <w:tcW w:w="951" w:type="pct"/>
            <w:tcBorders>
              <w:top w:val="single" w:sz="7" w:space="0" w:color="000000"/>
              <w:left w:val="single" w:sz="7" w:space="0" w:color="000000"/>
              <w:bottom w:val="single" w:sz="7" w:space="0" w:color="000000"/>
              <w:right w:val="single" w:sz="7" w:space="0" w:color="000000"/>
            </w:tcBorders>
            <w:vAlign w:val="center"/>
          </w:tcPr>
          <w:p w14:paraId="6777023E" w14:textId="77777777" w:rsidR="00821C00" w:rsidRPr="006213D1" w:rsidRDefault="00EF28E2" w:rsidP="002B1C4F">
            <w:pPr>
              <w:widowControl w:val="0"/>
              <w:autoSpaceDE w:val="0"/>
              <w:autoSpaceDN w:val="0"/>
              <w:adjustRightInd w:val="0"/>
              <w:spacing w:after="0"/>
              <w:jc w:val="center"/>
              <w:rPr>
                <w:rFonts w:ascii="Times New Roman" w:eastAsia="Times New Roman" w:hAnsi="Times New Roman"/>
                <w:b/>
                <w:color w:val="000000"/>
                <w:sz w:val="24"/>
                <w:szCs w:val="24"/>
              </w:rPr>
            </w:pPr>
            <w:r w:rsidRPr="006213D1">
              <w:rPr>
                <w:rFonts w:ascii="Times New Roman" w:eastAsia="Times New Roman" w:hAnsi="Times New Roman"/>
                <w:b/>
                <w:color w:val="000000"/>
                <w:sz w:val="24"/>
                <w:szCs w:val="24"/>
              </w:rPr>
              <w:t xml:space="preserve">2024   </w:t>
            </w:r>
            <w:r w:rsidR="00821C00" w:rsidRPr="006213D1">
              <w:rPr>
                <w:rFonts w:ascii="Times New Roman" w:eastAsia="Times New Roman" w:hAnsi="Times New Roman"/>
                <w:b/>
                <w:color w:val="000000"/>
                <w:sz w:val="24"/>
                <w:szCs w:val="24"/>
              </w:rPr>
              <w:t>Actual</w:t>
            </w:r>
          </w:p>
        </w:tc>
      </w:tr>
      <w:tr w:rsidR="00821C00" w:rsidRPr="006213D1" w14:paraId="0481E8E1" w14:textId="77777777" w:rsidTr="000961B0">
        <w:trPr>
          <w:cantSplit/>
          <w:trHeight w:val="352"/>
          <w:jc w:val="center"/>
        </w:trPr>
        <w:tc>
          <w:tcPr>
            <w:tcW w:w="4049" w:type="pct"/>
            <w:tcBorders>
              <w:top w:val="single" w:sz="7" w:space="0" w:color="000000"/>
              <w:left w:val="single" w:sz="7" w:space="0" w:color="000000"/>
              <w:bottom w:val="single" w:sz="7" w:space="0" w:color="000000"/>
              <w:right w:val="single" w:sz="7" w:space="0" w:color="000000"/>
            </w:tcBorders>
            <w:vAlign w:val="center"/>
          </w:tcPr>
          <w:p w14:paraId="56B2760E" w14:textId="77777777" w:rsidR="00821C00" w:rsidRPr="006213D1" w:rsidRDefault="00821C00" w:rsidP="002B1C4F">
            <w:pPr>
              <w:widowControl w:val="0"/>
              <w:autoSpaceDE w:val="0"/>
              <w:autoSpaceDN w:val="0"/>
              <w:adjustRightInd w:val="0"/>
              <w:spacing w:after="58"/>
              <w:jc w:val="both"/>
              <w:rPr>
                <w:rFonts w:ascii="Times New Roman" w:eastAsia="Times New Roman" w:hAnsi="Times New Roman"/>
                <w:color w:val="000000"/>
                <w:sz w:val="24"/>
                <w:szCs w:val="24"/>
              </w:rPr>
            </w:pPr>
            <w:r w:rsidRPr="006213D1">
              <w:rPr>
                <w:rFonts w:ascii="Times New Roman" w:eastAsia="Times New Roman" w:hAnsi="Times New Roman"/>
                <w:color w:val="000000"/>
                <w:sz w:val="24"/>
                <w:szCs w:val="24"/>
              </w:rPr>
              <w:t>Number / percentage of clients that received PREA training</w:t>
            </w:r>
          </w:p>
        </w:tc>
        <w:tc>
          <w:tcPr>
            <w:tcW w:w="951" w:type="pct"/>
            <w:tcBorders>
              <w:top w:val="single" w:sz="7" w:space="0" w:color="000000"/>
              <w:left w:val="single" w:sz="7" w:space="0" w:color="000000"/>
              <w:bottom w:val="single" w:sz="7" w:space="0" w:color="000000"/>
              <w:right w:val="single" w:sz="7" w:space="0" w:color="000000"/>
            </w:tcBorders>
            <w:shd w:val="clear" w:color="auto" w:fill="auto"/>
            <w:vAlign w:val="center"/>
          </w:tcPr>
          <w:p w14:paraId="1767CF21" w14:textId="77777777" w:rsidR="00821C00" w:rsidRPr="006213D1" w:rsidRDefault="00EF28E2" w:rsidP="002B1C4F">
            <w:pPr>
              <w:widowControl w:val="0"/>
              <w:autoSpaceDE w:val="0"/>
              <w:autoSpaceDN w:val="0"/>
              <w:adjustRightInd w:val="0"/>
              <w:spacing w:after="0"/>
              <w:jc w:val="center"/>
              <w:rPr>
                <w:rFonts w:ascii="Times New Roman" w:eastAsia="Times New Roman" w:hAnsi="Times New Roman"/>
                <w:color w:val="000000"/>
                <w:sz w:val="24"/>
                <w:szCs w:val="24"/>
              </w:rPr>
            </w:pPr>
            <w:r w:rsidRPr="006213D1">
              <w:rPr>
                <w:rFonts w:ascii="Times New Roman" w:eastAsia="Times New Roman" w:hAnsi="Times New Roman"/>
                <w:color w:val="000000"/>
                <w:sz w:val="24"/>
                <w:szCs w:val="24"/>
              </w:rPr>
              <w:t xml:space="preserve">952 </w:t>
            </w:r>
            <w:r w:rsidR="001B6993" w:rsidRPr="006213D1">
              <w:rPr>
                <w:rFonts w:ascii="Times New Roman" w:eastAsia="Times New Roman" w:hAnsi="Times New Roman"/>
                <w:color w:val="000000"/>
                <w:sz w:val="24"/>
                <w:szCs w:val="24"/>
              </w:rPr>
              <w:t xml:space="preserve">/ </w:t>
            </w:r>
            <w:r w:rsidRPr="006213D1">
              <w:rPr>
                <w:rFonts w:ascii="Times New Roman" w:eastAsia="Times New Roman" w:hAnsi="Times New Roman"/>
                <w:color w:val="000000"/>
                <w:sz w:val="24"/>
                <w:szCs w:val="24"/>
              </w:rPr>
              <w:t>98</w:t>
            </w:r>
            <w:r w:rsidR="001B6993" w:rsidRPr="006213D1">
              <w:rPr>
                <w:rFonts w:ascii="Times New Roman" w:eastAsia="Times New Roman" w:hAnsi="Times New Roman"/>
                <w:color w:val="000000"/>
                <w:sz w:val="24"/>
                <w:szCs w:val="24"/>
              </w:rPr>
              <w:t>%</w:t>
            </w:r>
            <w:r w:rsidR="006E4C96" w:rsidRPr="006213D1">
              <w:rPr>
                <w:rFonts w:ascii="Times New Roman" w:eastAsia="Times New Roman" w:hAnsi="Times New Roman"/>
                <w:color w:val="000000"/>
                <w:sz w:val="24"/>
                <w:szCs w:val="24"/>
              </w:rPr>
              <w:t>*</w:t>
            </w:r>
          </w:p>
        </w:tc>
      </w:tr>
      <w:tr w:rsidR="00821C00" w:rsidRPr="006213D1" w14:paraId="2E310A55" w14:textId="77777777" w:rsidTr="000961B0">
        <w:trPr>
          <w:cantSplit/>
          <w:trHeight w:val="433"/>
          <w:jc w:val="center"/>
        </w:trPr>
        <w:tc>
          <w:tcPr>
            <w:tcW w:w="4049" w:type="pct"/>
            <w:tcBorders>
              <w:top w:val="single" w:sz="7" w:space="0" w:color="000000"/>
              <w:left w:val="single" w:sz="7" w:space="0" w:color="000000"/>
              <w:bottom w:val="single" w:sz="7" w:space="0" w:color="000000"/>
              <w:right w:val="single" w:sz="7" w:space="0" w:color="000000"/>
            </w:tcBorders>
            <w:vAlign w:val="center"/>
          </w:tcPr>
          <w:p w14:paraId="06CFA295" w14:textId="77777777" w:rsidR="00821C00" w:rsidRPr="006213D1" w:rsidRDefault="00821C00" w:rsidP="002B1C4F">
            <w:pPr>
              <w:widowControl w:val="0"/>
              <w:autoSpaceDE w:val="0"/>
              <w:autoSpaceDN w:val="0"/>
              <w:adjustRightInd w:val="0"/>
              <w:spacing w:after="58"/>
              <w:jc w:val="both"/>
              <w:rPr>
                <w:rFonts w:ascii="Times New Roman" w:eastAsia="Times New Roman" w:hAnsi="Times New Roman"/>
                <w:color w:val="000000"/>
                <w:sz w:val="24"/>
                <w:szCs w:val="24"/>
              </w:rPr>
            </w:pPr>
            <w:r w:rsidRPr="006213D1">
              <w:rPr>
                <w:rFonts w:ascii="Times New Roman" w:eastAsia="Times New Roman" w:hAnsi="Times New Roman"/>
                <w:color w:val="000000"/>
                <w:sz w:val="24"/>
                <w:szCs w:val="24"/>
              </w:rPr>
              <w:t>Number / percentage of staff that received PREA training</w:t>
            </w:r>
          </w:p>
        </w:tc>
        <w:tc>
          <w:tcPr>
            <w:tcW w:w="951" w:type="pct"/>
            <w:tcBorders>
              <w:top w:val="single" w:sz="7" w:space="0" w:color="000000"/>
              <w:left w:val="single" w:sz="7" w:space="0" w:color="000000"/>
              <w:bottom w:val="single" w:sz="7" w:space="0" w:color="000000"/>
              <w:right w:val="single" w:sz="7" w:space="0" w:color="000000"/>
            </w:tcBorders>
            <w:shd w:val="clear" w:color="auto" w:fill="auto"/>
            <w:vAlign w:val="center"/>
          </w:tcPr>
          <w:p w14:paraId="669CF35C" w14:textId="77777777" w:rsidR="00821C00" w:rsidRPr="006213D1" w:rsidRDefault="00EF28E2" w:rsidP="002B1C4F">
            <w:pPr>
              <w:widowControl w:val="0"/>
              <w:autoSpaceDE w:val="0"/>
              <w:autoSpaceDN w:val="0"/>
              <w:adjustRightInd w:val="0"/>
              <w:spacing w:after="0"/>
              <w:jc w:val="center"/>
              <w:rPr>
                <w:rFonts w:ascii="Times New Roman" w:eastAsia="Times New Roman" w:hAnsi="Times New Roman"/>
                <w:sz w:val="24"/>
                <w:szCs w:val="24"/>
              </w:rPr>
            </w:pPr>
            <w:r w:rsidRPr="006213D1">
              <w:rPr>
                <w:rFonts w:ascii="Times New Roman" w:eastAsia="Times New Roman" w:hAnsi="Times New Roman"/>
                <w:sz w:val="24"/>
                <w:szCs w:val="24"/>
              </w:rPr>
              <w:t xml:space="preserve">388 </w:t>
            </w:r>
            <w:r w:rsidR="001B6993" w:rsidRPr="006213D1">
              <w:rPr>
                <w:rFonts w:ascii="Times New Roman" w:eastAsia="Times New Roman" w:hAnsi="Times New Roman"/>
                <w:sz w:val="24"/>
                <w:szCs w:val="24"/>
              </w:rPr>
              <w:t>/ 100%</w:t>
            </w:r>
          </w:p>
        </w:tc>
      </w:tr>
      <w:tr w:rsidR="00821C00" w:rsidRPr="006213D1" w14:paraId="30F53DB2" w14:textId="77777777" w:rsidTr="000961B0">
        <w:trPr>
          <w:cantSplit/>
          <w:trHeight w:val="352"/>
          <w:jc w:val="center"/>
        </w:trPr>
        <w:tc>
          <w:tcPr>
            <w:tcW w:w="4049" w:type="pct"/>
            <w:tcBorders>
              <w:top w:val="single" w:sz="7" w:space="0" w:color="000000"/>
              <w:left w:val="single" w:sz="7" w:space="0" w:color="000000"/>
              <w:bottom w:val="single" w:sz="7" w:space="0" w:color="000000"/>
              <w:right w:val="single" w:sz="7" w:space="0" w:color="000000"/>
            </w:tcBorders>
            <w:vAlign w:val="center"/>
          </w:tcPr>
          <w:p w14:paraId="2A6626A9" w14:textId="77777777" w:rsidR="00821C00" w:rsidRPr="006213D1" w:rsidRDefault="00821C00" w:rsidP="002B1C4F">
            <w:pPr>
              <w:widowControl w:val="0"/>
              <w:autoSpaceDE w:val="0"/>
              <w:autoSpaceDN w:val="0"/>
              <w:adjustRightInd w:val="0"/>
              <w:spacing w:after="58"/>
              <w:jc w:val="both"/>
              <w:rPr>
                <w:rFonts w:ascii="Times New Roman" w:eastAsia="Times New Roman" w:hAnsi="Times New Roman"/>
                <w:color w:val="000000"/>
                <w:sz w:val="24"/>
                <w:szCs w:val="24"/>
              </w:rPr>
            </w:pPr>
            <w:r w:rsidRPr="006213D1">
              <w:rPr>
                <w:rFonts w:ascii="Times New Roman" w:eastAsia="Times New Roman" w:hAnsi="Times New Roman"/>
                <w:color w:val="000000"/>
                <w:sz w:val="24"/>
                <w:szCs w:val="24"/>
              </w:rPr>
              <w:t>Number / percentage of volunteers and contractors that received PREA training</w:t>
            </w:r>
          </w:p>
        </w:tc>
        <w:tc>
          <w:tcPr>
            <w:tcW w:w="951" w:type="pct"/>
            <w:tcBorders>
              <w:top w:val="single" w:sz="7" w:space="0" w:color="000000"/>
              <w:left w:val="single" w:sz="7" w:space="0" w:color="000000"/>
              <w:bottom w:val="single" w:sz="7" w:space="0" w:color="000000"/>
              <w:right w:val="single" w:sz="7" w:space="0" w:color="000000"/>
            </w:tcBorders>
            <w:shd w:val="clear" w:color="auto" w:fill="auto"/>
            <w:vAlign w:val="center"/>
          </w:tcPr>
          <w:p w14:paraId="2BE5FBAF" w14:textId="77777777" w:rsidR="00821C00" w:rsidRPr="006213D1" w:rsidRDefault="00EF28E2" w:rsidP="002B1C4F">
            <w:pPr>
              <w:widowControl w:val="0"/>
              <w:autoSpaceDE w:val="0"/>
              <w:autoSpaceDN w:val="0"/>
              <w:adjustRightInd w:val="0"/>
              <w:spacing w:after="0"/>
              <w:jc w:val="center"/>
              <w:rPr>
                <w:rFonts w:ascii="Times New Roman" w:eastAsia="Times New Roman" w:hAnsi="Times New Roman"/>
                <w:color w:val="000000"/>
                <w:sz w:val="24"/>
                <w:szCs w:val="24"/>
              </w:rPr>
            </w:pPr>
            <w:r w:rsidRPr="006213D1">
              <w:rPr>
                <w:rFonts w:ascii="Times New Roman" w:eastAsia="Times New Roman" w:hAnsi="Times New Roman"/>
                <w:color w:val="000000"/>
                <w:sz w:val="24"/>
                <w:szCs w:val="24"/>
              </w:rPr>
              <w:t xml:space="preserve">159 </w:t>
            </w:r>
            <w:r w:rsidR="001B6993" w:rsidRPr="006213D1">
              <w:rPr>
                <w:rFonts w:ascii="Times New Roman" w:eastAsia="Times New Roman" w:hAnsi="Times New Roman"/>
                <w:color w:val="000000"/>
                <w:sz w:val="24"/>
                <w:szCs w:val="24"/>
              </w:rPr>
              <w:t xml:space="preserve">/ </w:t>
            </w:r>
            <w:r w:rsidRPr="006213D1">
              <w:rPr>
                <w:rFonts w:ascii="Times New Roman" w:eastAsia="Times New Roman" w:hAnsi="Times New Roman"/>
                <w:color w:val="000000"/>
                <w:sz w:val="24"/>
                <w:szCs w:val="24"/>
              </w:rPr>
              <w:t>92</w:t>
            </w:r>
            <w:r w:rsidR="001B6993" w:rsidRPr="006213D1">
              <w:rPr>
                <w:rFonts w:ascii="Times New Roman" w:eastAsia="Times New Roman" w:hAnsi="Times New Roman"/>
                <w:color w:val="000000"/>
                <w:sz w:val="24"/>
                <w:szCs w:val="24"/>
              </w:rPr>
              <w:t>%</w:t>
            </w:r>
            <w:r w:rsidR="000961B0" w:rsidRPr="006213D1">
              <w:rPr>
                <w:rFonts w:ascii="Times New Roman" w:eastAsia="Times New Roman" w:hAnsi="Times New Roman"/>
                <w:color w:val="000000"/>
                <w:sz w:val="24"/>
                <w:szCs w:val="24"/>
              </w:rPr>
              <w:t>*</w:t>
            </w:r>
            <w:r w:rsidR="006E4C96" w:rsidRPr="006213D1">
              <w:rPr>
                <w:rFonts w:ascii="Times New Roman" w:eastAsia="Times New Roman" w:hAnsi="Times New Roman"/>
                <w:color w:val="000000"/>
                <w:sz w:val="24"/>
                <w:szCs w:val="24"/>
              </w:rPr>
              <w:t>*</w:t>
            </w:r>
          </w:p>
        </w:tc>
      </w:tr>
      <w:tr w:rsidR="000961B0" w:rsidRPr="006213D1" w14:paraId="4C709AE5" w14:textId="77777777" w:rsidTr="000961B0">
        <w:trPr>
          <w:cantSplit/>
          <w:trHeight w:val="352"/>
          <w:jc w:val="center"/>
        </w:trPr>
        <w:tc>
          <w:tcPr>
            <w:tcW w:w="4049" w:type="pct"/>
            <w:tcBorders>
              <w:top w:val="single" w:sz="7" w:space="0" w:color="000000"/>
              <w:left w:val="single" w:sz="7" w:space="0" w:color="000000"/>
              <w:bottom w:val="single" w:sz="7" w:space="0" w:color="000000"/>
              <w:right w:val="single" w:sz="7" w:space="0" w:color="000000"/>
            </w:tcBorders>
            <w:vAlign w:val="center"/>
          </w:tcPr>
          <w:p w14:paraId="4B4C9654" w14:textId="77777777" w:rsidR="000961B0" w:rsidRPr="006213D1" w:rsidRDefault="000961B0" w:rsidP="002B1C4F">
            <w:pPr>
              <w:widowControl w:val="0"/>
              <w:autoSpaceDE w:val="0"/>
              <w:autoSpaceDN w:val="0"/>
              <w:adjustRightInd w:val="0"/>
              <w:spacing w:after="58"/>
              <w:jc w:val="both"/>
              <w:rPr>
                <w:rFonts w:ascii="Times New Roman" w:eastAsia="Times New Roman" w:hAnsi="Times New Roman"/>
                <w:color w:val="000000"/>
                <w:sz w:val="24"/>
                <w:szCs w:val="24"/>
              </w:rPr>
            </w:pPr>
            <w:r w:rsidRPr="006213D1">
              <w:rPr>
                <w:rFonts w:ascii="Times New Roman" w:eastAsia="Times New Roman" w:hAnsi="Times New Roman"/>
                <w:color w:val="000000"/>
                <w:sz w:val="24"/>
                <w:szCs w:val="24"/>
              </w:rPr>
              <w:t>Number of allegations reported and reviewed</w:t>
            </w:r>
          </w:p>
        </w:tc>
        <w:tc>
          <w:tcPr>
            <w:tcW w:w="951" w:type="pct"/>
            <w:tcBorders>
              <w:top w:val="single" w:sz="7" w:space="0" w:color="000000"/>
              <w:left w:val="single" w:sz="7" w:space="0" w:color="000000"/>
              <w:bottom w:val="single" w:sz="7" w:space="0" w:color="000000"/>
              <w:right w:val="single" w:sz="7" w:space="0" w:color="000000"/>
            </w:tcBorders>
            <w:shd w:val="clear" w:color="auto" w:fill="auto"/>
            <w:vAlign w:val="center"/>
          </w:tcPr>
          <w:p w14:paraId="542FE4FD" w14:textId="77777777" w:rsidR="000961B0" w:rsidRPr="006213D1" w:rsidRDefault="000961B0" w:rsidP="002B1C4F">
            <w:pPr>
              <w:widowControl w:val="0"/>
              <w:autoSpaceDE w:val="0"/>
              <w:autoSpaceDN w:val="0"/>
              <w:adjustRightInd w:val="0"/>
              <w:spacing w:after="0"/>
              <w:jc w:val="center"/>
              <w:rPr>
                <w:rFonts w:ascii="Times New Roman" w:eastAsia="Times New Roman" w:hAnsi="Times New Roman"/>
                <w:color w:val="000000"/>
                <w:sz w:val="24"/>
                <w:szCs w:val="24"/>
              </w:rPr>
            </w:pPr>
            <w:r w:rsidRPr="006213D1">
              <w:rPr>
                <w:rFonts w:ascii="Times New Roman" w:eastAsia="Times New Roman" w:hAnsi="Times New Roman"/>
                <w:color w:val="000000"/>
                <w:sz w:val="24"/>
                <w:szCs w:val="24"/>
              </w:rPr>
              <w:t>10</w:t>
            </w:r>
          </w:p>
        </w:tc>
      </w:tr>
      <w:tr w:rsidR="000961B0" w:rsidRPr="006213D1" w14:paraId="68B35ADD" w14:textId="77777777" w:rsidTr="000961B0">
        <w:trPr>
          <w:cantSplit/>
          <w:trHeight w:val="343"/>
          <w:jc w:val="center"/>
        </w:trPr>
        <w:tc>
          <w:tcPr>
            <w:tcW w:w="4049" w:type="pct"/>
            <w:tcBorders>
              <w:top w:val="single" w:sz="7" w:space="0" w:color="000000"/>
              <w:left w:val="single" w:sz="7" w:space="0" w:color="000000"/>
              <w:bottom w:val="single" w:sz="7" w:space="0" w:color="000000"/>
              <w:right w:val="single" w:sz="7" w:space="0" w:color="000000"/>
            </w:tcBorders>
            <w:vAlign w:val="center"/>
          </w:tcPr>
          <w:p w14:paraId="16F32CFE" w14:textId="77777777" w:rsidR="000961B0" w:rsidRPr="006213D1" w:rsidRDefault="000961B0" w:rsidP="002B1C4F">
            <w:pPr>
              <w:widowControl w:val="0"/>
              <w:autoSpaceDE w:val="0"/>
              <w:autoSpaceDN w:val="0"/>
              <w:adjustRightInd w:val="0"/>
              <w:spacing w:after="58"/>
              <w:jc w:val="both"/>
              <w:rPr>
                <w:rFonts w:ascii="Times New Roman" w:eastAsia="Times New Roman" w:hAnsi="Times New Roman"/>
                <w:color w:val="000000"/>
                <w:sz w:val="24"/>
                <w:szCs w:val="24"/>
              </w:rPr>
            </w:pPr>
            <w:r w:rsidRPr="006213D1">
              <w:rPr>
                <w:rFonts w:ascii="Times New Roman" w:eastAsia="Times New Roman" w:hAnsi="Times New Roman"/>
                <w:color w:val="000000"/>
                <w:sz w:val="24"/>
                <w:szCs w:val="24"/>
              </w:rPr>
              <w:t>Number of substantiated PREA allegations</w:t>
            </w:r>
          </w:p>
        </w:tc>
        <w:tc>
          <w:tcPr>
            <w:tcW w:w="951" w:type="pct"/>
            <w:tcBorders>
              <w:top w:val="single" w:sz="7" w:space="0" w:color="000000"/>
              <w:left w:val="single" w:sz="7" w:space="0" w:color="000000"/>
              <w:bottom w:val="single" w:sz="7" w:space="0" w:color="000000"/>
              <w:right w:val="single" w:sz="7" w:space="0" w:color="000000"/>
            </w:tcBorders>
            <w:shd w:val="clear" w:color="auto" w:fill="auto"/>
            <w:vAlign w:val="center"/>
          </w:tcPr>
          <w:p w14:paraId="0A11D209" w14:textId="77777777" w:rsidR="000961B0" w:rsidRPr="006213D1" w:rsidRDefault="000961B0" w:rsidP="002B1C4F">
            <w:pPr>
              <w:widowControl w:val="0"/>
              <w:autoSpaceDE w:val="0"/>
              <w:autoSpaceDN w:val="0"/>
              <w:adjustRightInd w:val="0"/>
              <w:spacing w:after="0"/>
              <w:jc w:val="center"/>
              <w:rPr>
                <w:rFonts w:ascii="Times New Roman" w:eastAsia="Times New Roman" w:hAnsi="Times New Roman"/>
                <w:color w:val="000000"/>
                <w:sz w:val="24"/>
                <w:szCs w:val="24"/>
              </w:rPr>
            </w:pPr>
            <w:r w:rsidRPr="006213D1">
              <w:rPr>
                <w:rFonts w:ascii="Times New Roman" w:eastAsia="Times New Roman" w:hAnsi="Times New Roman"/>
                <w:color w:val="000000"/>
                <w:sz w:val="24"/>
                <w:szCs w:val="24"/>
              </w:rPr>
              <w:t>0</w:t>
            </w:r>
          </w:p>
        </w:tc>
      </w:tr>
    </w:tbl>
    <w:p w14:paraId="43B1C7F2" w14:textId="77777777" w:rsidR="006E4C96" w:rsidRPr="006213D1" w:rsidRDefault="006E4C96" w:rsidP="002B1C4F">
      <w:pPr>
        <w:spacing w:after="0"/>
        <w:rPr>
          <w:rFonts w:ascii="Times New Roman" w:hAnsi="Times New Roman"/>
          <w:i/>
        </w:rPr>
      </w:pPr>
      <w:r w:rsidRPr="006213D1">
        <w:rPr>
          <w:rFonts w:ascii="Times New Roman" w:hAnsi="Times New Roman"/>
          <w:i/>
        </w:rPr>
        <w:t>*Clients who missed the training during the required time are no longer in the facility.</w:t>
      </w:r>
    </w:p>
    <w:p w14:paraId="16506BD4" w14:textId="77777777" w:rsidR="00960485" w:rsidRPr="006213D1" w:rsidRDefault="002B3AC1" w:rsidP="002B1C4F">
      <w:pPr>
        <w:spacing w:after="0"/>
        <w:rPr>
          <w:rFonts w:ascii="Times New Roman" w:hAnsi="Times New Roman"/>
          <w:i/>
        </w:rPr>
      </w:pPr>
      <w:r w:rsidRPr="006213D1">
        <w:rPr>
          <w:rFonts w:ascii="Times New Roman" w:hAnsi="Times New Roman"/>
          <w:i/>
        </w:rPr>
        <w:t>*</w:t>
      </w:r>
      <w:r w:rsidR="006E4C96" w:rsidRPr="006213D1">
        <w:rPr>
          <w:rFonts w:ascii="Times New Roman" w:hAnsi="Times New Roman"/>
          <w:i/>
        </w:rPr>
        <w:t>*</w:t>
      </w:r>
      <w:r w:rsidRPr="006213D1">
        <w:rPr>
          <w:rFonts w:ascii="Times New Roman" w:hAnsi="Times New Roman"/>
          <w:i/>
        </w:rPr>
        <w:t>Volunteers and contractors missing the training have been iden</w:t>
      </w:r>
      <w:r w:rsidR="00B801AD" w:rsidRPr="006213D1">
        <w:rPr>
          <w:rFonts w:ascii="Times New Roman" w:hAnsi="Times New Roman"/>
          <w:i/>
        </w:rPr>
        <w:t xml:space="preserve">tified and corrected. </w:t>
      </w:r>
    </w:p>
    <w:p w14:paraId="2645607C" w14:textId="77777777" w:rsidR="000961B0" w:rsidRPr="006213D1" w:rsidRDefault="000961B0" w:rsidP="002B1C4F">
      <w:pPr>
        <w:spacing w:after="0"/>
        <w:rPr>
          <w:rFonts w:ascii="Times New Roman" w:hAnsi="Times New Roman"/>
          <w:b/>
          <w:sz w:val="24"/>
          <w:szCs w:val="24"/>
        </w:rPr>
      </w:pPr>
    </w:p>
    <w:p w14:paraId="4E933EED" w14:textId="77777777" w:rsidR="00AE0106" w:rsidRPr="006213D1" w:rsidRDefault="00AE0106" w:rsidP="002B1C4F">
      <w:pPr>
        <w:jc w:val="both"/>
        <w:rPr>
          <w:rFonts w:ascii="Times New Roman" w:hAnsi="Times New Roman"/>
          <w:b/>
          <w:sz w:val="24"/>
          <w:szCs w:val="24"/>
        </w:rPr>
      </w:pPr>
      <w:r w:rsidRPr="006213D1">
        <w:rPr>
          <w:rFonts w:ascii="Times New Roman" w:hAnsi="Times New Roman"/>
          <w:b/>
          <w:sz w:val="24"/>
          <w:szCs w:val="24"/>
        </w:rPr>
        <w:t>Sexual Abuse Review Board (SARB)</w:t>
      </w:r>
    </w:p>
    <w:p w14:paraId="01E1E7B0" w14:textId="74E58089" w:rsidR="00A465F9" w:rsidRPr="006213D1" w:rsidRDefault="00190EEF" w:rsidP="002B1C4F">
      <w:pPr>
        <w:jc w:val="both"/>
        <w:rPr>
          <w:rFonts w:ascii="Times New Roman" w:hAnsi="Times New Roman"/>
          <w:sz w:val="24"/>
          <w:szCs w:val="24"/>
        </w:rPr>
      </w:pPr>
      <w:r w:rsidRPr="006213D1">
        <w:rPr>
          <w:rFonts w:ascii="Times New Roman" w:hAnsi="Times New Roman"/>
          <w:sz w:val="24"/>
          <w:szCs w:val="24"/>
        </w:rPr>
        <w:t>The director established and selected the SARB on July 24, 2015 in accordance with the PREA standard</w:t>
      </w:r>
      <w:r w:rsidR="006213D1" w:rsidRPr="006213D1">
        <w:rPr>
          <w:rFonts w:ascii="Times New Roman" w:hAnsi="Times New Roman"/>
          <w:sz w:val="24"/>
          <w:szCs w:val="24"/>
        </w:rPr>
        <w:t>s</w:t>
      </w:r>
      <w:r w:rsidRPr="006213D1">
        <w:rPr>
          <w:rFonts w:ascii="Times New Roman" w:hAnsi="Times New Roman"/>
          <w:sz w:val="24"/>
          <w:szCs w:val="24"/>
        </w:rPr>
        <w:t xml:space="preserve"> and</w:t>
      </w:r>
      <w:r w:rsidR="00D14653" w:rsidRPr="006213D1">
        <w:rPr>
          <w:rFonts w:ascii="Times New Roman" w:hAnsi="Times New Roman"/>
          <w:sz w:val="24"/>
          <w:szCs w:val="24"/>
        </w:rPr>
        <w:t xml:space="preserve"> SCDOC</w:t>
      </w:r>
      <w:r w:rsidR="006213D1" w:rsidRPr="006213D1">
        <w:rPr>
          <w:rFonts w:ascii="Times New Roman" w:hAnsi="Times New Roman"/>
          <w:sz w:val="24"/>
          <w:szCs w:val="24"/>
        </w:rPr>
        <w:t xml:space="preserve"> policy.</w:t>
      </w:r>
      <w:r w:rsidR="00D14653" w:rsidRPr="006213D1">
        <w:rPr>
          <w:rFonts w:ascii="Times New Roman" w:hAnsi="Times New Roman"/>
          <w:sz w:val="24"/>
          <w:szCs w:val="24"/>
        </w:rPr>
        <w:t xml:space="preserve">   The board consists </w:t>
      </w:r>
      <w:r w:rsidR="008F601D" w:rsidRPr="006213D1">
        <w:rPr>
          <w:rFonts w:ascii="Times New Roman" w:hAnsi="Times New Roman"/>
          <w:sz w:val="24"/>
          <w:szCs w:val="24"/>
        </w:rPr>
        <w:t>of three members, serving a one-</w:t>
      </w:r>
      <w:r w:rsidR="00D14653" w:rsidRPr="006213D1">
        <w:rPr>
          <w:rFonts w:ascii="Times New Roman" w:hAnsi="Times New Roman"/>
          <w:sz w:val="24"/>
          <w:szCs w:val="24"/>
        </w:rPr>
        <w:t xml:space="preserve">year term, which </w:t>
      </w:r>
      <w:r w:rsidRPr="006213D1">
        <w:rPr>
          <w:rFonts w:ascii="Times New Roman" w:hAnsi="Times New Roman"/>
          <w:sz w:val="24"/>
          <w:szCs w:val="24"/>
        </w:rPr>
        <w:t>may be reappointed by the director.  The board appo</w:t>
      </w:r>
      <w:r w:rsidR="00700A29" w:rsidRPr="006213D1">
        <w:rPr>
          <w:rFonts w:ascii="Times New Roman" w:hAnsi="Times New Roman"/>
          <w:sz w:val="24"/>
          <w:szCs w:val="24"/>
        </w:rPr>
        <w:t>intment</w:t>
      </w:r>
      <w:r w:rsidRPr="006213D1">
        <w:rPr>
          <w:rFonts w:ascii="Times New Roman" w:hAnsi="Times New Roman"/>
          <w:sz w:val="24"/>
          <w:szCs w:val="24"/>
        </w:rPr>
        <w:t xml:space="preserve"> begin</w:t>
      </w:r>
      <w:r w:rsidR="00700A29" w:rsidRPr="006213D1">
        <w:rPr>
          <w:rFonts w:ascii="Times New Roman" w:hAnsi="Times New Roman"/>
          <w:sz w:val="24"/>
          <w:szCs w:val="24"/>
        </w:rPr>
        <w:t>s</w:t>
      </w:r>
      <w:r w:rsidRPr="006213D1">
        <w:rPr>
          <w:rFonts w:ascii="Times New Roman" w:hAnsi="Times New Roman"/>
          <w:sz w:val="24"/>
          <w:szCs w:val="24"/>
        </w:rPr>
        <w:t xml:space="preserve"> July 1</w:t>
      </w:r>
      <w:r w:rsidR="00712A32" w:rsidRPr="006213D1">
        <w:rPr>
          <w:rFonts w:ascii="Times New Roman" w:hAnsi="Times New Roman"/>
          <w:sz w:val="24"/>
          <w:szCs w:val="24"/>
          <w:vertAlign w:val="superscript"/>
        </w:rPr>
        <w:t>st</w:t>
      </w:r>
      <w:r w:rsidR="00712A32" w:rsidRPr="006213D1">
        <w:rPr>
          <w:rFonts w:ascii="Times New Roman" w:hAnsi="Times New Roman"/>
          <w:sz w:val="24"/>
          <w:szCs w:val="24"/>
        </w:rPr>
        <w:t xml:space="preserve"> </w:t>
      </w:r>
      <w:r w:rsidRPr="006213D1">
        <w:rPr>
          <w:rFonts w:ascii="Times New Roman" w:hAnsi="Times New Roman"/>
          <w:sz w:val="24"/>
          <w:szCs w:val="24"/>
        </w:rPr>
        <w:t>and end</w:t>
      </w:r>
      <w:r w:rsidR="00700A29" w:rsidRPr="006213D1">
        <w:rPr>
          <w:rFonts w:ascii="Times New Roman" w:hAnsi="Times New Roman"/>
          <w:sz w:val="24"/>
          <w:szCs w:val="24"/>
        </w:rPr>
        <w:t>s</w:t>
      </w:r>
      <w:r w:rsidRPr="006213D1">
        <w:rPr>
          <w:rFonts w:ascii="Times New Roman" w:hAnsi="Times New Roman"/>
          <w:sz w:val="24"/>
          <w:szCs w:val="24"/>
        </w:rPr>
        <w:t xml:space="preserve"> June 30</w:t>
      </w:r>
      <w:r w:rsidRPr="006213D1">
        <w:rPr>
          <w:rFonts w:ascii="Times New Roman" w:hAnsi="Times New Roman"/>
          <w:sz w:val="24"/>
          <w:szCs w:val="24"/>
          <w:vertAlign w:val="superscript"/>
        </w:rPr>
        <w:t>th</w:t>
      </w:r>
      <w:r w:rsidR="00E416A4" w:rsidRPr="006213D1">
        <w:rPr>
          <w:rFonts w:ascii="Times New Roman" w:hAnsi="Times New Roman"/>
          <w:sz w:val="24"/>
          <w:szCs w:val="24"/>
          <w:vertAlign w:val="superscript"/>
        </w:rPr>
        <w:t xml:space="preserve"> </w:t>
      </w:r>
      <w:r w:rsidR="00E416A4" w:rsidRPr="006213D1">
        <w:rPr>
          <w:rFonts w:ascii="Times New Roman" w:hAnsi="Times New Roman"/>
          <w:sz w:val="24"/>
          <w:szCs w:val="24"/>
        </w:rPr>
        <w:t xml:space="preserve">of the next year. </w:t>
      </w:r>
      <w:r w:rsidRPr="006213D1">
        <w:rPr>
          <w:rFonts w:ascii="Times New Roman" w:hAnsi="Times New Roman"/>
          <w:sz w:val="24"/>
          <w:szCs w:val="24"/>
        </w:rPr>
        <w:t xml:space="preserve">   </w:t>
      </w:r>
    </w:p>
    <w:p w14:paraId="5281F964" w14:textId="77777777" w:rsidR="008F601D" w:rsidRPr="006213D1" w:rsidRDefault="00700A29" w:rsidP="002B1C4F">
      <w:pPr>
        <w:jc w:val="both"/>
        <w:rPr>
          <w:rFonts w:ascii="Times New Roman" w:hAnsi="Times New Roman"/>
          <w:sz w:val="24"/>
          <w:szCs w:val="24"/>
        </w:rPr>
      </w:pPr>
      <w:r w:rsidRPr="006213D1">
        <w:rPr>
          <w:rFonts w:ascii="Times New Roman" w:hAnsi="Times New Roman"/>
          <w:sz w:val="24"/>
          <w:szCs w:val="24"/>
        </w:rPr>
        <w:t>The SARB reviews</w:t>
      </w:r>
      <w:r w:rsidR="00190EEF" w:rsidRPr="006213D1">
        <w:rPr>
          <w:rFonts w:ascii="Times New Roman" w:hAnsi="Times New Roman"/>
          <w:sz w:val="24"/>
          <w:szCs w:val="24"/>
        </w:rPr>
        <w:t xml:space="preserve"> all PREA </w:t>
      </w:r>
      <w:r w:rsidR="00EA64BB" w:rsidRPr="006213D1">
        <w:rPr>
          <w:rFonts w:ascii="Times New Roman" w:hAnsi="Times New Roman"/>
          <w:sz w:val="24"/>
          <w:szCs w:val="24"/>
        </w:rPr>
        <w:t xml:space="preserve">investigations </w:t>
      </w:r>
      <w:r w:rsidR="00190EEF" w:rsidRPr="006213D1">
        <w:rPr>
          <w:rFonts w:ascii="Times New Roman" w:hAnsi="Times New Roman"/>
          <w:sz w:val="24"/>
          <w:szCs w:val="24"/>
        </w:rPr>
        <w:t>within 30 days of the conclusion of the investigation.   The board considers whether allegation</w:t>
      </w:r>
      <w:r w:rsidR="00D14653" w:rsidRPr="006213D1">
        <w:rPr>
          <w:rFonts w:ascii="Times New Roman" w:hAnsi="Times New Roman"/>
          <w:sz w:val="24"/>
          <w:szCs w:val="24"/>
        </w:rPr>
        <w:t>s</w:t>
      </w:r>
      <w:r w:rsidR="00190EEF" w:rsidRPr="006213D1">
        <w:rPr>
          <w:rFonts w:ascii="Times New Roman" w:hAnsi="Times New Roman"/>
          <w:sz w:val="24"/>
          <w:szCs w:val="24"/>
        </w:rPr>
        <w:t xml:space="preserve"> or investigation indicates a need to change policy </w:t>
      </w:r>
      <w:r w:rsidR="006D4975" w:rsidRPr="006213D1">
        <w:rPr>
          <w:rFonts w:ascii="Times New Roman" w:hAnsi="Times New Roman"/>
          <w:sz w:val="24"/>
          <w:szCs w:val="24"/>
        </w:rPr>
        <w:t xml:space="preserve">or practice to better prevent, </w:t>
      </w:r>
      <w:r w:rsidR="00190EEF" w:rsidRPr="006213D1">
        <w:rPr>
          <w:rFonts w:ascii="Times New Roman" w:hAnsi="Times New Roman"/>
          <w:sz w:val="24"/>
          <w:szCs w:val="24"/>
        </w:rPr>
        <w:t>detect or respond to sexual abuse</w:t>
      </w:r>
      <w:r w:rsidR="00EA64BB" w:rsidRPr="006213D1">
        <w:rPr>
          <w:rFonts w:ascii="Times New Roman" w:hAnsi="Times New Roman"/>
          <w:sz w:val="24"/>
          <w:szCs w:val="24"/>
        </w:rPr>
        <w:t>/sexual harassment</w:t>
      </w:r>
      <w:r w:rsidR="00190EEF" w:rsidRPr="006213D1">
        <w:rPr>
          <w:rFonts w:ascii="Times New Roman" w:hAnsi="Times New Roman"/>
          <w:sz w:val="24"/>
          <w:szCs w:val="24"/>
        </w:rPr>
        <w:t xml:space="preserve">.   There are several areas of consideration for the board to review which include motivators for the allegation, physical barriers, staffing levels and technology. </w:t>
      </w:r>
    </w:p>
    <w:p w14:paraId="5F4962D8" w14:textId="77777777" w:rsidR="00190EEF" w:rsidRPr="006213D1" w:rsidRDefault="00960485" w:rsidP="002B1C4F">
      <w:pPr>
        <w:jc w:val="both"/>
        <w:rPr>
          <w:rFonts w:ascii="Times New Roman" w:hAnsi="Times New Roman"/>
          <w:sz w:val="24"/>
          <w:szCs w:val="24"/>
        </w:rPr>
      </w:pPr>
      <w:r w:rsidRPr="006213D1">
        <w:rPr>
          <w:rFonts w:ascii="Times New Roman" w:hAnsi="Times New Roman"/>
          <w:sz w:val="24"/>
          <w:szCs w:val="24"/>
        </w:rPr>
        <w:t>In 202</w:t>
      </w:r>
      <w:r w:rsidR="00EA64BB" w:rsidRPr="006213D1">
        <w:rPr>
          <w:rFonts w:ascii="Times New Roman" w:hAnsi="Times New Roman"/>
          <w:sz w:val="24"/>
          <w:szCs w:val="24"/>
        </w:rPr>
        <w:t>4</w:t>
      </w:r>
      <w:r w:rsidR="008F601D" w:rsidRPr="006213D1">
        <w:rPr>
          <w:rFonts w:ascii="Times New Roman" w:hAnsi="Times New Roman"/>
          <w:sz w:val="24"/>
          <w:szCs w:val="24"/>
        </w:rPr>
        <w:t xml:space="preserve">, the SARB committee reviewed </w:t>
      </w:r>
      <w:r w:rsidR="00EA64BB" w:rsidRPr="006213D1">
        <w:rPr>
          <w:rFonts w:ascii="Times New Roman" w:hAnsi="Times New Roman"/>
          <w:sz w:val="24"/>
          <w:szCs w:val="24"/>
        </w:rPr>
        <w:t xml:space="preserve">10 </w:t>
      </w:r>
      <w:r w:rsidR="008F601D" w:rsidRPr="006213D1">
        <w:rPr>
          <w:rFonts w:ascii="Times New Roman" w:hAnsi="Times New Roman"/>
          <w:sz w:val="24"/>
          <w:szCs w:val="24"/>
        </w:rPr>
        <w:t xml:space="preserve">allegations of which </w:t>
      </w:r>
      <w:r w:rsidR="00EB1FEB" w:rsidRPr="006213D1">
        <w:rPr>
          <w:rFonts w:ascii="Times New Roman" w:hAnsi="Times New Roman"/>
          <w:sz w:val="24"/>
          <w:szCs w:val="24"/>
        </w:rPr>
        <w:t xml:space="preserve">one </w:t>
      </w:r>
      <w:r w:rsidR="00707EFB" w:rsidRPr="006213D1">
        <w:rPr>
          <w:rFonts w:ascii="Times New Roman" w:hAnsi="Times New Roman"/>
          <w:sz w:val="24"/>
          <w:szCs w:val="24"/>
        </w:rPr>
        <w:t>was</w:t>
      </w:r>
      <w:r w:rsidR="008F601D" w:rsidRPr="006213D1">
        <w:rPr>
          <w:rFonts w:ascii="Times New Roman" w:hAnsi="Times New Roman"/>
          <w:sz w:val="24"/>
          <w:szCs w:val="24"/>
        </w:rPr>
        <w:t xml:space="preserve"> </w:t>
      </w:r>
      <w:r w:rsidR="007F7163" w:rsidRPr="006213D1">
        <w:rPr>
          <w:rFonts w:ascii="Times New Roman" w:hAnsi="Times New Roman"/>
          <w:sz w:val="24"/>
          <w:szCs w:val="24"/>
        </w:rPr>
        <w:t>unfounded</w:t>
      </w:r>
      <w:r w:rsidR="008F601D" w:rsidRPr="006213D1">
        <w:rPr>
          <w:rFonts w:ascii="Times New Roman" w:hAnsi="Times New Roman"/>
          <w:sz w:val="24"/>
          <w:szCs w:val="24"/>
        </w:rPr>
        <w:t xml:space="preserve">, </w:t>
      </w:r>
      <w:r w:rsidR="00EB1FEB" w:rsidRPr="006213D1">
        <w:rPr>
          <w:rFonts w:ascii="Times New Roman" w:hAnsi="Times New Roman"/>
          <w:sz w:val="24"/>
          <w:szCs w:val="24"/>
        </w:rPr>
        <w:t xml:space="preserve">9 </w:t>
      </w:r>
      <w:r w:rsidR="00707EFB" w:rsidRPr="006213D1">
        <w:rPr>
          <w:rFonts w:ascii="Times New Roman" w:hAnsi="Times New Roman"/>
          <w:sz w:val="24"/>
          <w:szCs w:val="24"/>
        </w:rPr>
        <w:t xml:space="preserve">were unsubstantiated and none were </w:t>
      </w:r>
      <w:r w:rsidR="007F7163" w:rsidRPr="006213D1">
        <w:rPr>
          <w:rFonts w:ascii="Times New Roman" w:hAnsi="Times New Roman"/>
          <w:sz w:val="24"/>
          <w:szCs w:val="24"/>
        </w:rPr>
        <w:t>substantiated</w:t>
      </w:r>
      <w:r w:rsidR="00707EFB" w:rsidRPr="006213D1">
        <w:rPr>
          <w:rFonts w:ascii="Times New Roman" w:hAnsi="Times New Roman"/>
          <w:sz w:val="24"/>
          <w:szCs w:val="24"/>
        </w:rPr>
        <w:t xml:space="preserve">. </w:t>
      </w:r>
      <w:r w:rsidRPr="006213D1">
        <w:rPr>
          <w:rFonts w:ascii="Times New Roman" w:hAnsi="Times New Roman"/>
          <w:sz w:val="24"/>
          <w:szCs w:val="24"/>
        </w:rPr>
        <w:t xml:space="preserve"> </w:t>
      </w:r>
      <w:r w:rsidR="00E0428D" w:rsidRPr="006213D1">
        <w:rPr>
          <w:rFonts w:ascii="Times New Roman" w:hAnsi="Times New Roman"/>
          <w:sz w:val="24"/>
          <w:szCs w:val="24"/>
        </w:rPr>
        <w:t>A</w:t>
      </w:r>
      <w:r w:rsidR="00B75366" w:rsidRPr="006213D1">
        <w:rPr>
          <w:rFonts w:ascii="Times New Roman" w:hAnsi="Times New Roman"/>
          <w:sz w:val="24"/>
          <w:szCs w:val="24"/>
        </w:rPr>
        <w:t xml:space="preserve">ll </w:t>
      </w:r>
      <w:r w:rsidR="00EB1FEB" w:rsidRPr="006213D1">
        <w:rPr>
          <w:rFonts w:ascii="Times New Roman" w:hAnsi="Times New Roman"/>
          <w:sz w:val="24"/>
          <w:szCs w:val="24"/>
        </w:rPr>
        <w:t xml:space="preserve">10 </w:t>
      </w:r>
      <w:r w:rsidR="00B75366" w:rsidRPr="006213D1">
        <w:rPr>
          <w:rFonts w:ascii="Times New Roman" w:hAnsi="Times New Roman"/>
          <w:sz w:val="24"/>
          <w:szCs w:val="24"/>
        </w:rPr>
        <w:t>allegations</w:t>
      </w:r>
      <w:r w:rsidR="00E0428D" w:rsidRPr="006213D1">
        <w:rPr>
          <w:rFonts w:ascii="Times New Roman" w:hAnsi="Times New Roman"/>
          <w:sz w:val="24"/>
          <w:szCs w:val="24"/>
        </w:rPr>
        <w:t xml:space="preserve"> were reviewed by the SARB committee</w:t>
      </w:r>
      <w:r w:rsidR="008F601D" w:rsidRPr="006213D1">
        <w:rPr>
          <w:rFonts w:ascii="Times New Roman" w:hAnsi="Times New Roman"/>
          <w:sz w:val="24"/>
          <w:szCs w:val="24"/>
        </w:rPr>
        <w:t xml:space="preserve"> and feedback was provided to the PREA Compliance Managers (PCM)</w:t>
      </w:r>
      <w:r w:rsidR="00707EFB" w:rsidRPr="006213D1">
        <w:rPr>
          <w:rFonts w:ascii="Times New Roman" w:hAnsi="Times New Roman"/>
          <w:sz w:val="24"/>
          <w:szCs w:val="24"/>
        </w:rPr>
        <w:t xml:space="preserve"> and/or the Primary PREA Investigator</w:t>
      </w:r>
      <w:r w:rsidR="008F601D" w:rsidRPr="006213D1">
        <w:rPr>
          <w:rFonts w:ascii="Times New Roman" w:hAnsi="Times New Roman"/>
          <w:sz w:val="24"/>
          <w:szCs w:val="24"/>
        </w:rPr>
        <w:t xml:space="preserve">.  All PCMs </w:t>
      </w:r>
      <w:r w:rsidR="00707EFB" w:rsidRPr="006213D1">
        <w:rPr>
          <w:rFonts w:ascii="Times New Roman" w:hAnsi="Times New Roman"/>
          <w:sz w:val="24"/>
          <w:szCs w:val="24"/>
        </w:rPr>
        <w:t xml:space="preserve">and/or Primary Investigators </w:t>
      </w:r>
      <w:r w:rsidR="008F601D" w:rsidRPr="006213D1">
        <w:rPr>
          <w:rFonts w:ascii="Times New Roman" w:hAnsi="Times New Roman"/>
          <w:sz w:val="24"/>
          <w:szCs w:val="24"/>
        </w:rPr>
        <w:t xml:space="preserve">responded to the feedback within 5 business days and provided satisfactory corrective action. </w:t>
      </w:r>
      <w:r w:rsidR="00190EEF" w:rsidRPr="006213D1">
        <w:rPr>
          <w:rFonts w:ascii="Times New Roman" w:hAnsi="Times New Roman"/>
          <w:sz w:val="24"/>
          <w:szCs w:val="24"/>
        </w:rPr>
        <w:t xml:space="preserve"> </w:t>
      </w:r>
      <w:r w:rsidR="00DE4ABA" w:rsidRPr="006213D1">
        <w:rPr>
          <w:rFonts w:ascii="Times New Roman" w:hAnsi="Times New Roman"/>
          <w:sz w:val="24"/>
          <w:szCs w:val="24"/>
        </w:rPr>
        <w:t>There is currently one on-going PREA investigation with the Sedgwick County Sheriff’s Office from 202</w:t>
      </w:r>
      <w:r w:rsidR="00A9585D" w:rsidRPr="006213D1">
        <w:rPr>
          <w:rFonts w:ascii="Times New Roman" w:hAnsi="Times New Roman"/>
          <w:sz w:val="24"/>
          <w:szCs w:val="24"/>
        </w:rPr>
        <w:t>4</w:t>
      </w:r>
      <w:r w:rsidR="00DE4ABA" w:rsidRPr="006213D1">
        <w:rPr>
          <w:rFonts w:ascii="Times New Roman" w:hAnsi="Times New Roman"/>
          <w:sz w:val="24"/>
          <w:szCs w:val="24"/>
        </w:rPr>
        <w:t>. The SARB committee will review this investigation once law enforcement has closed the case</w:t>
      </w:r>
      <w:r w:rsidR="00A9585D" w:rsidRPr="006213D1">
        <w:rPr>
          <w:rFonts w:ascii="Times New Roman" w:hAnsi="Times New Roman"/>
          <w:sz w:val="24"/>
          <w:szCs w:val="24"/>
        </w:rPr>
        <w:t xml:space="preserve"> and the administrative investigation has been completed</w:t>
      </w:r>
      <w:r w:rsidR="00DE4ABA" w:rsidRPr="006213D1">
        <w:rPr>
          <w:rFonts w:ascii="Times New Roman" w:hAnsi="Times New Roman"/>
          <w:sz w:val="24"/>
          <w:szCs w:val="24"/>
        </w:rPr>
        <w:t xml:space="preserve">. </w:t>
      </w:r>
    </w:p>
    <w:p w14:paraId="3E6A47F3" w14:textId="77777777" w:rsidR="00977954" w:rsidRPr="006213D1" w:rsidRDefault="008F601D" w:rsidP="002B1C4F">
      <w:pPr>
        <w:jc w:val="both"/>
        <w:rPr>
          <w:rFonts w:ascii="Times New Roman" w:hAnsi="Times New Roman"/>
          <w:b/>
          <w:sz w:val="24"/>
          <w:szCs w:val="24"/>
        </w:rPr>
      </w:pPr>
      <w:r w:rsidRPr="006213D1">
        <w:rPr>
          <w:rFonts w:ascii="Times New Roman" w:hAnsi="Times New Roman"/>
          <w:b/>
          <w:sz w:val="24"/>
          <w:szCs w:val="24"/>
        </w:rPr>
        <w:t>C</w:t>
      </w:r>
      <w:r w:rsidR="00977954" w:rsidRPr="006213D1">
        <w:rPr>
          <w:rFonts w:ascii="Times New Roman" w:hAnsi="Times New Roman"/>
          <w:b/>
          <w:sz w:val="24"/>
          <w:szCs w:val="24"/>
        </w:rPr>
        <w:t>lient Education</w:t>
      </w:r>
    </w:p>
    <w:p w14:paraId="0E5700A9" w14:textId="77777777" w:rsidR="00286A0F" w:rsidRPr="006213D1" w:rsidRDefault="00977954" w:rsidP="002B1C4F">
      <w:pPr>
        <w:jc w:val="both"/>
        <w:rPr>
          <w:rFonts w:ascii="Times New Roman" w:hAnsi="Times New Roman"/>
          <w:sz w:val="24"/>
          <w:szCs w:val="24"/>
        </w:rPr>
      </w:pPr>
      <w:r w:rsidRPr="006213D1">
        <w:rPr>
          <w:rFonts w:ascii="Times New Roman" w:hAnsi="Times New Roman"/>
          <w:sz w:val="24"/>
          <w:szCs w:val="24"/>
        </w:rPr>
        <w:t xml:space="preserve">In all the </w:t>
      </w:r>
      <w:r w:rsidR="00A429A9" w:rsidRPr="006213D1">
        <w:rPr>
          <w:rFonts w:ascii="Times New Roman" w:hAnsi="Times New Roman"/>
          <w:sz w:val="24"/>
          <w:szCs w:val="24"/>
        </w:rPr>
        <w:t>SC</w:t>
      </w:r>
      <w:r w:rsidR="008F601D" w:rsidRPr="006213D1">
        <w:rPr>
          <w:rFonts w:ascii="Times New Roman" w:hAnsi="Times New Roman"/>
          <w:sz w:val="24"/>
          <w:szCs w:val="24"/>
        </w:rPr>
        <w:t>DOC</w:t>
      </w:r>
      <w:r w:rsidRPr="006213D1">
        <w:rPr>
          <w:rFonts w:ascii="Times New Roman" w:hAnsi="Times New Roman"/>
          <w:sz w:val="24"/>
          <w:szCs w:val="24"/>
        </w:rPr>
        <w:t xml:space="preserve"> facilities, c</w:t>
      </w:r>
      <w:r w:rsidR="00686EB2" w:rsidRPr="006213D1">
        <w:rPr>
          <w:rFonts w:ascii="Times New Roman" w:hAnsi="Times New Roman"/>
          <w:sz w:val="24"/>
          <w:szCs w:val="24"/>
        </w:rPr>
        <w:t xml:space="preserve">lients are educated by staff within </w:t>
      </w:r>
      <w:r w:rsidR="00286A0F" w:rsidRPr="006213D1">
        <w:rPr>
          <w:rFonts w:ascii="Times New Roman" w:hAnsi="Times New Roman"/>
          <w:sz w:val="24"/>
          <w:szCs w:val="24"/>
        </w:rPr>
        <w:t>10</w:t>
      </w:r>
      <w:r w:rsidR="00686EB2" w:rsidRPr="006213D1">
        <w:rPr>
          <w:rFonts w:ascii="Times New Roman" w:hAnsi="Times New Roman"/>
          <w:sz w:val="24"/>
          <w:szCs w:val="24"/>
        </w:rPr>
        <w:t xml:space="preserve"> days of intake on their rights to</w:t>
      </w:r>
      <w:r w:rsidR="00044A2B" w:rsidRPr="006213D1">
        <w:rPr>
          <w:rFonts w:ascii="Times New Roman" w:hAnsi="Times New Roman"/>
          <w:sz w:val="24"/>
          <w:szCs w:val="24"/>
        </w:rPr>
        <w:t xml:space="preserve"> be</w:t>
      </w:r>
      <w:r w:rsidR="00686EB2" w:rsidRPr="006213D1">
        <w:rPr>
          <w:rFonts w:ascii="Times New Roman" w:hAnsi="Times New Roman"/>
          <w:sz w:val="24"/>
          <w:szCs w:val="24"/>
        </w:rPr>
        <w:t xml:space="preserve"> free from sexual abuse, sexual harassment and to be free from retaliation </w:t>
      </w:r>
      <w:r w:rsidR="00286A0F" w:rsidRPr="006213D1">
        <w:rPr>
          <w:rFonts w:ascii="Times New Roman" w:hAnsi="Times New Roman"/>
          <w:sz w:val="24"/>
          <w:szCs w:val="24"/>
        </w:rPr>
        <w:t xml:space="preserve">for reporting such incidents.  </w:t>
      </w:r>
    </w:p>
    <w:p w14:paraId="3AC0FC88" w14:textId="77777777" w:rsidR="00977954" w:rsidRPr="006213D1" w:rsidRDefault="00286A0F" w:rsidP="002B1C4F">
      <w:pPr>
        <w:jc w:val="both"/>
        <w:rPr>
          <w:rFonts w:ascii="Times New Roman" w:hAnsi="Times New Roman"/>
          <w:sz w:val="24"/>
          <w:szCs w:val="24"/>
        </w:rPr>
      </w:pPr>
      <w:r w:rsidRPr="006213D1">
        <w:rPr>
          <w:rFonts w:ascii="Times New Roman" w:hAnsi="Times New Roman"/>
          <w:sz w:val="24"/>
          <w:szCs w:val="24"/>
        </w:rPr>
        <w:t>T</w:t>
      </w:r>
      <w:r w:rsidR="00686EB2" w:rsidRPr="006213D1">
        <w:rPr>
          <w:rFonts w:ascii="Times New Roman" w:hAnsi="Times New Roman"/>
          <w:sz w:val="24"/>
          <w:szCs w:val="24"/>
        </w:rPr>
        <w:t>he training includes:</w:t>
      </w:r>
    </w:p>
    <w:p w14:paraId="18A4BC89" w14:textId="77777777" w:rsidR="00F829AB" w:rsidRPr="006213D1" w:rsidRDefault="00F829AB" w:rsidP="002B1C4F">
      <w:pPr>
        <w:numPr>
          <w:ilvl w:val="0"/>
          <w:numId w:val="4"/>
        </w:numPr>
        <w:spacing w:after="120"/>
        <w:ind w:left="1440"/>
        <w:jc w:val="both"/>
        <w:rPr>
          <w:rFonts w:ascii="Times New Roman" w:hAnsi="Times New Roman"/>
          <w:sz w:val="24"/>
          <w:szCs w:val="24"/>
        </w:rPr>
      </w:pPr>
      <w:r w:rsidRPr="006213D1">
        <w:rPr>
          <w:rFonts w:ascii="Times New Roman" w:hAnsi="Times New Roman"/>
          <w:sz w:val="24"/>
          <w:szCs w:val="24"/>
        </w:rPr>
        <w:t>PREA standards and zero tolerance for sexual abuse and harassment;</w:t>
      </w:r>
    </w:p>
    <w:p w14:paraId="02E1800E" w14:textId="77777777" w:rsidR="006D717D" w:rsidRPr="006213D1" w:rsidRDefault="006D717D" w:rsidP="002B1C4F">
      <w:pPr>
        <w:numPr>
          <w:ilvl w:val="0"/>
          <w:numId w:val="4"/>
        </w:numPr>
        <w:spacing w:after="120"/>
        <w:ind w:left="1080" w:firstLine="0"/>
        <w:jc w:val="both"/>
        <w:rPr>
          <w:rFonts w:ascii="Times New Roman" w:hAnsi="Times New Roman"/>
          <w:sz w:val="24"/>
          <w:szCs w:val="24"/>
        </w:rPr>
      </w:pPr>
      <w:r w:rsidRPr="006213D1">
        <w:rPr>
          <w:rFonts w:ascii="Times New Roman" w:hAnsi="Times New Roman"/>
          <w:sz w:val="24"/>
          <w:szCs w:val="24"/>
        </w:rPr>
        <w:t>Education and awareness on PREA;</w:t>
      </w:r>
    </w:p>
    <w:p w14:paraId="1FFA59FA" w14:textId="77777777" w:rsidR="00F829AB" w:rsidRPr="006213D1" w:rsidRDefault="00F829AB" w:rsidP="002B1C4F">
      <w:pPr>
        <w:numPr>
          <w:ilvl w:val="0"/>
          <w:numId w:val="4"/>
        </w:numPr>
        <w:spacing w:after="120"/>
        <w:ind w:left="1440"/>
        <w:jc w:val="both"/>
        <w:rPr>
          <w:rFonts w:ascii="Times New Roman" w:hAnsi="Times New Roman"/>
          <w:sz w:val="24"/>
          <w:szCs w:val="24"/>
        </w:rPr>
      </w:pPr>
      <w:r w:rsidRPr="006213D1">
        <w:rPr>
          <w:rFonts w:ascii="Times New Roman" w:hAnsi="Times New Roman"/>
          <w:sz w:val="24"/>
          <w:szCs w:val="24"/>
        </w:rPr>
        <w:t>Recognizing the physical, behavioral and emotional signs of sexual assault</w:t>
      </w:r>
      <w:r w:rsidR="006D717D" w:rsidRPr="006213D1">
        <w:rPr>
          <w:rFonts w:ascii="Times New Roman" w:hAnsi="Times New Roman"/>
          <w:sz w:val="24"/>
          <w:szCs w:val="24"/>
        </w:rPr>
        <w:t>;</w:t>
      </w:r>
    </w:p>
    <w:p w14:paraId="625A8AD6" w14:textId="77777777" w:rsidR="00B60164" w:rsidRPr="006213D1" w:rsidRDefault="00686EB2" w:rsidP="002B1C4F">
      <w:pPr>
        <w:numPr>
          <w:ilvl w:val="0"/>
          <w:numId w:val="4"/>
        </w:numPr>
        <w:spacing w:after="120"/>
        <w:ind w:left="1080" w:firstLine="0"/>
        <w:jc w:val="both"/>
        <w:rPr>
          <w:rFonts w:ascii="Times New Roman" w:hAnsi="Times New Roman"/>
          <w:sz w:val="24"/>
          <w:szCs w:val="24"/>
        </w:rPr>
      </w:pPr>
      <w:r w:rsidRPr="006213D1">
        <w:rPr>
          <w:rFonts w:ascii="Times New Roman" w:hAnsi="Times New Roman"/>
          <w:sz w:val="24"/>
          <w:szCs w:val="24"/>
        </w:rPr>
        <w:t>Rules and expectations regarding</w:t>
      </w:r>
      <w:r w:rsidR="00B732F6" w:rsidRPr="006213D1">
        <w:rPr>
          <w:rFonts w:ascii="Times New Roman" w:hAnsi="Times New Roman"/>
          <w:sz w:val="24"/>
          <w:szCs w:val="24"/>
        </w:rPr>
        <w:t xml:space="preserve"> inappropriate sexual behaviors;</w:t>
      </w:r>
    </w:p>
    <w:p w14:paraId="6C77EEA4" w14:textId="4567F3AA" w:rsidR="006213D1" w:rsidRDefault="00686EB2" w:rsidP="002B1C4F">
      <w:pPr>
        <w:numPr>
          <w:ilvl w:val="0"/>
          <w:numId w:val="4"/>
        </w:numPr>
        <w:spacing w:after="120"/>
        <w:ind w:left="1080" w:firstLine="0"/>
        <w:jc w:val="both"/>
        <w:rPr>
          <w:rFonts w:ascii="Times New Roman" w:hAnsi="Times New Roman"/>
          <w:sz w:val="24"/>
          <w:szCs w:val="24"/>
        </w:rPr>
      </w:pPr>
      <w:r w:rsidRPr="006213D1">
        <w:rPr>
          <w:rFonts w:ascii="Times New Roman" w:hAnsi="Times New Roman"/>
          <w:sz w:val="24"/>
          <w:szCs w:val="24"/>
        </w:rPr>
        <w:t>How to report incidents of sexual abuse/</w:t>
      </w:r>
      <w:r w:rsidR="000918A6" w:rsidRPr="006213D1">
        <w:rPr>
          <w:rFonts w:ascii="Times New Roman" w:hAnsi="Times New Roman"/>
          <w:sz w:val="24"/>
          <w:szCs w:val="24"/>
        </w:rPr>
        <w:t>harassment</w:t>
      </w:r>
      <w:r w:rsidRPr="006213D1">
        <w:rPr>
          <w:rFonts w:ascii="Times New Roman" w:hAnsi="Times New Roman"/>
          <w:sz w:val="24"/>
          <w:szCs w:val="24"/>
        </w:rPr>
        <w:t xml:space="preserve"> and their responsibility.</w:t>
      </w:r>
    </w:p>
    <w:p w14:paraId="2A1C40E8" w14:textId="77777777" w:rsidR="002B1C4F" w:rsidRPr="006213D1" w:rsidRDefault="002B1C4F" w:rsidP="002B1C4F">
      <w:pPr>
        <w:spacing w:after="120"/>
        <w:ind w:left="1080"/>
        <w:jc w:val="both"/>
        <w:rPr>
          <w:rFonts w:ascii="Times New Roman" w:hAnsi="Times New Roman"/>
          <w:sz w:val="24"/>
          <w:szCs w:val="24"/>
        </w:rPr>
      </w:pPr>
    </w:p>
    <w:p w14:paraId="2E5FC702" w14:textId="77777777" w:rsidR="00712A32" w:rsidRPr="006213D1" w:rsidRDefault="00532C53" w:rsidP="002B1C4F">
      <w:pPr>
        <w:jc w:val="both"/>
        <w:rPr>
          <w:rFonts w:ascii="Times New Roman" w:hAnsi="Times New Roman"/>
          <w:sz w:val="24"/>
          <w:szCs w:val="24"/>
        </w:rPr>
      </w:pPr>
      <w:r w:rsidRPr="006213D1">
        <w:rPr>
          <w:rFonts w:ascii="Times New Roman" w:hAnsi="Times New Roman"/>
          <w:sz w:val="24"/>
          <w:szCs w:val="24"/>
        </w:rPr>
        <w:t xml:space="preserve">The Language Line </w:t>
      </w:r>
      <w:r w:rsidR="00B2176E" w:rsidRPr="006213D1">
        <w:rPr>
          <w:rFonts w:ascii="Times New Roman" w:hAnsi="Times New Roman"/>
          <w:sz w:val="24"/>
          <w:szCs w:val="24"/>
        </w:rPr>
        <w:t>and UBI-DUO are available to assist clients with PR</w:t>
      </w:r>
      <w:r w:rsidR="006E5C23" w:rsidRPr="006213D1">
        <w:rPr>
          <w:rFonts w:ascii="Times New Roman" w:hAnsi="Times New Roman"/>
          <w:sz w:val="24"/>
          <w:szCs w:val="24"/>
        </w:rPr>
        <w:t xml:space="preserve">EA education.  </w:t>
      </w:r>
      <w:r w:rsidR="007F3174" w:rsidRPr="006213D1">
        <w:rPr>
          <w:rFonts w:ascii="Times New Roman" w:hAnsi="Times New Roman"/>
          <w:sz w:val="24"/>
          <w:szCs w:val="24"/>
        </w:rPr>
        <w:t xml:space="preserve">The </w:t>
      </w:r>
      <w:r w:rsidRPr="006213D1">
        <w:rPr>
          <w:rFonts w:ascii="Times New Roman" w:hAnsi="Times New Roman"/>
          <w:sz w:val="24"/>
          <w:szCs w:val="24"/>
        </w:rPr>
        <w:t>L</w:t>
      </w:r>
      <w:r w:rsidR="007F3174" w:rsidRPr="006213D1">
        <w:rPr>
          <w:rFonts w:ascii="Times New Roman" w:hAnsi="Times New Roman"/>
          <w:sz w:val="24"/>
          <w:szCs w:val="24"/>
        </w:rPr>
        <w:t>anguage</w:t>
      </w:r>
      <w:r w:rsidRPr="006213D1">
        <w:rPr>
          <w:rFonts w:ascii="Times New Roman" w:hAnsi="Times New Roman"/>
          <w:sz w:val="24"/>
          <w:szCs w:val="24"/>
        </w:rPr>
        <w:t xml:space="preserve"> Line is a phone service that provides translation in more than 240 languages. </w:t>
      </w:r>
      <w:r w:rsidR="006E5C23" w:rsidRPr="006213D1">
        <w:rPr>
          <w:rFonts w:ascii="Times New Roman" w:hAnsi="Times New Roman"/>
          <w:sz w:val="24"/>
          <w:szCs w:val="24"/>
        </w:rPr>
        <w:t xml:space="preserve">The UBI-DUO is an American Disability Act (ADA) approved </w:t>
      </w:r>
      <w:r w:rsidR="00B2176E" w:rsidRPr="006213D1">
        <w:rPr>
          <w:rFonts w:ascii="Times New Roman" w:hAnsi="Times New Roman"/>
          <w:sz w:val="24"/>
          <w:szCs w:val="24"/>
        </w:rPr>
        <w:t xml:space="preserve">communication device for the hearing impaired, that removes communication barriers and allows clients to hold a conversation in real-time.  </w:t>
      </w:r>
      <w:r w:rsidR="00686EB2" w:rsidRPr="006213D1">
        <w:rPr>
          <w:rFonts w:ascii="Times New Roman" w:hAnsi="Times New Roman"/>
          <w:sz w:val="24"/>
          <w:szCs w:val="24"/>
        </w:rPr>
        <w:t xml:space="preserve">All clients have access to PREA information pamphlets (English and Spanish), posters (English and Spanish), videos, handbooks, Kansas Protection Report Center (hotline), </w:t>
      </w:r>
      <w:r w:rsidR="00891A20" w:rsidRPr="006213D1">
        <w:rPr>
          <w:rFonts w:ascii="Times New Roman" w:hAnsi="Times New Roman"/>
          <w:sz w:val="24"/>
          <w:szCs w:val="24"/>
        </w:rPr>
        <w:t xml:space="preserve">website, </w:t>
      </w:r>
      <w:r w:rsidR="00686EB2" w:rsidRPr="006213D1">
        <w:rPr>
          <w:rFonts w:ascii="Times New Roman" w:hAnsi="Times New Roman"/>
          <w:sz w:val="24"/>
          <w:szCs w:val="24"/>
        </w:rPr>
        <w:t xml:space="preserve">management and </w:t>
      </w:r>
      <w:r w:rsidR="001D7A90" w:rsidRPr="006213D1">
        <w:rPr>
          <w:rFonts w:ascii="Times New Roman" w:hAnsi="Times New Roman"/>
          <w:sz w:val="24"/>
          <w:szCs w:val="24"/>
        </w:rPr>
        <w:t xml:space="preserve">the </w:t>
      </w:r>
      <w:r w:rsidR="00686EB2" w:rsidRPr="006213D1">
        <w:rPr>
          <w:rFonts w:ascii="Times New Roman" w:hAnsi="Times New Roman"/>
          <w:sz w:val="24"/>
          <w:szCs w:val="24"/>
        </w:rPr>
        <w:t>PR</w:t>
      </w:r>
      <w:r w:rsidR="00700A29" w:rsidRPr="006213D1">
        <w:rPr>
          <w:rFonts w:ascii="Times New Roman" w:hAnsi="Times New Roman"/>
          <w:sz w:val="24"/>
          <w:szCs w:val="24"/>
        </w:rPr>
        <w:t>EA Coordinator telephone number</w:t>
      </w:r>
      <w:r w:rsidR="00686EB2" w:rsidRPr="006213D1">
        <w:rPr>
          <w:rFonts w:ascii="Times New Roman" w:hAnsi="Times New Roman"/>
          <w:sz w:val="24"/>
          <w:szCs w:val="24"/>
        </w:rPr>
        <w:t xml:space="preserve"> for contact and assistance.</w:t>
      </w:r>
    </w:p>
    <w:p w14:paraId="2B6253BF" w14:textId="77777777" w:rsidR="00686EB2" w:rsidRPr="006213D1" w:rsidRDefault="00B2176E" w:rsidP="002B1C4F">
      <w:pPr>
        <w:jc w:val="both"/>
        <w:rPr>
          <w:rFonts w:ascii="Times New Roman" w:hAnsi="Times New Roman"/>
          <w:b/>
          <w:sz w:val="24"/>
          <w:szCs w:val="24"/>
        </w:rPr>
      </w:pPr>
      <w:r w:rsidRPr="006213D1">
        <w:rPr>
          <w:rFonts w:ascii="Times New Roman" w:hAnsi="Times New Roman"/>
          <w:b/>
          <w:sz w:val="24"/>
          <w:szCs w:val="24"/>
        </w:rPr>
        <w:lastRenderedPageBreak/>
        <w:t>S</w:t>
      </w:r>
      <w:r w:rsidR="00B732F6" w:rsidRPr="006213D1">
        <w:rPr>
          <w:rFonts w:ascii="Times New Roman" w:hAnsi="Times New Roman"/>
          <w:b/>
          <w:sz w:val="24"/>
          <w:szCs w:val="24"/>
        </w:rPr>
        <w:t>creening Tool</w:t>
      </w:r>
    </w:p>
    <w:p w14:paraId="76338CD1" w14:textId="77777777" w:rsidR="00B732F6" w:rsidRPr="0032319A" w:rsidRDefault="00664F45" w:rsidP="002B1C4F">
      <w:pPr>
        <w:jc w:val="both"/>
        <w:rPr>
          <w:rFonts w:ascii="Times New Roman" w:hAnsi="Times New Roman"/>
          <w:sz w:val="24"/>
          <w:szCs w:val="24"/>
        </w:rPr>
      </w:pPr>
      <w:r w:rsidRPr="006213D1">
        <w:rPr>
          <w:rFonts w:ascii="Times New Roman" w:hAnsi="Times New Roman"/>
          <w:sz w:val="24"/>
          <w:szCs w:val="24"/>
        </w:rPr>
        <w:t>The department has adopted two objective screening instruments</w:t>
      </w:r>
      <w:r w:rsidR="00FD2CBE" w:rsidRPr="006213D1">
        <w:rPr>
          <w:rFonts w:ascii="Times New Roman" w:hAnsi="Times New Roman"/>
          <w:sz w:val="24"/>
          <w:szCs w:val="24"/>
        </w:rPr>
        <w:t xml:space="preserve"> (adult </w:t>
      </w:r>
      <w:r w:rsidR="00025C6B" w:rsidRPr="006213D1">
        <w:rPr>
          <w:rFonts w:ascii="Times New Roman" w:hAnsi="Times New Roman"/>
          <w:sz w:val="24"/>
          <w:szCs w:val="24"/>
        </w:rPr>
        <w:t>&amp;</w:t>
      </w:r>
      <w:r w:rsidR="00FD2CBE" w:rsidRPr="006213D1">
        <w:rPr>
          <w:rFonts w:ascii="Times New Roman" w:hAnsi="Times New Roman"/>
          <w:sz w:val="24"/>
          <w:szCs w:val="24"/>
        </w:rPr>
        <w:t xml:space="preserve"> juvenile) </w:t>
      </w:r>
      <w:r w:rsidRPr="006213D1">
        <w:rPr>
          <w:rFonts w:ascii="Times New Roman" w:hAnsi="Times New Roman"/>
          <w:sz w:val="24"/>
          <w:szCs w:val="24"/>
        </w:rPr>
        <w:t xml:space="preserve">that are completed within 72 hours of the </w:t>
      </w:r>
      <w:r w:rsidR="00025C6B" w:rsidRPr="006213D1">
        <w:rPr>
          <w:rFonts w:ascii="Times New Roman" w:hAnsi="Times New Roman"/>
          <w:sz w:val="24"/>
          <w:szCs w:val="24"/>
        </w:rPr>
        <w:t>clien</w:t>
      </w:r>
      <w:r w:rsidRPr="006213D1">
        <w:rPr>
          <w:rFonts w:ascii="Times New Roman" w:hAnsi="Times New Roman"/>
          <w:sz w:val="24"/>
          <w:szCs w:val="24"/>
        </w:rPr>
        <w:t xml:space="preserve">t’s arrival at the facility and periodically throughout a </w:t>
      </w:r>
      <w:r w:rsidR="00025C6B" w:rsidRPr="006213D1">
        <w:rPr>
          <w:rFonts w:ascii="Times New Roman" w:hAnsi="Times New Roman"/>
          <w:sz w:val="24"/>
          <w:szCs w:val="24"/>
        </w:rPr>
        <w:t>clien</w:t>
      </w:r>
      <w:r w:rsidR="00FD2CBE" w:rsidRPr="006213D1">
        <w:rPr>
          <w:rFonts w:ascii="Times New Roman" w:hAnsi="Times New Roman"/>
          <w:sz w:val="24"/>
          <w:szCs w:val="24"/>
        </w:rPr>
        <w:t>t’s</w:t>
      </w:r>
      <w:r w:rsidRPr="006213D1">
        <w:rPr>
          <w:rFonts w:ascii="Times New Roman" w:hAnsi="Times New Roman"/>
          <w:sz w:val="24"/>
          <w:szCs w:val="24"/>
        </w:rPr>
        <w:t xml:space="preserve"> confinement.  The </w:t>
      </w:r>
      <w:r w:rsidR="00B732F6" w:rsidRPr="006213D1">
        <w:rPr>
          <w:rFonts w:ascii="Times New Roman" w:hAnsi="Times New Roman"/>
          <w:sz w:val="24"/>
          <w:szCs w:val="24"/>
        </w:rPr>
        <w:t xml:space="preserve">screening </w:t>
      </w:r>
      <w:r w:rsidRPr="006213D1">
        <w:rPr>
          <w:rFonts w:ascii="Times New Roman" w:hAnsi="Times New Roman"/>
          <w:sz w:val="24"/>
          <w:szCs w:val="24"/>
        </w:rPr>
        <w:t>instruments are used to mea</w:t>
      </w:r>
      <w:r w:rsidR="00FD2CBE" w:rsidRPr="006213D1">
        <w:rPr>
          <w:rFonts w:ascii="Times New Roman" w:hAnsi="Times New Roman"/>
          <w:sz w:val="24"/>
          <w:szCs w:val="24"/>
        </w:rPr>
        <w:t xml:space="preserve">sure the </w:t>
      </w:r>
      <w:r w:rsidR="00025C6B" w:rsidRPr="006213D1">
        <w:rPr>
          <w:rFonts w:ascii="Times New Roman" w:hAnsi="Times New Roman"/>
          <w:sz w:val="24"/>
          <w:szCs w:val="24"/>
        </w:rPr>
        <w:t>clie</w:t>
      </w:r>
      <w:r w:rsidR="00FD2CBE" w:rsidRPr="006213D1">
        <w:rPr>
          <w:rFonts w:ascii="Times New Roman" w:hAnsi="Times New Roman"/>
          <w:sz w:val="24"/>
          <w:szCs w:val="24"/>
        </w:rPr>
        <w:t xml:space="preserve">nt’s </w:t>
      </w:r>
      <w:r w:rsidR="00B732F6" w:rsidRPr="006213D1">
        <w:rPr>
          <w:rFonts w:ascii="Times New Roman" w:hAnsi="Times New Roman"/>
          <w:sz w:val="24"/>
          <w:szCs w:val="24"/>
        </w:rPr>
        <w:t xml:space="preserve">risk of sexual abuse victimization </w:t>
      </w:r>
      <w:r w:rsidR="00FD2CBE" w:rsidRPr="006213D1">
        <w:rPr>
          <w:rFonts w:ascii="Times New Roman" w:hAnsi="Times New Roman"/>
          <w:sz w:val="24"/>
          <w:szCs w:val="24"/>
        </w:rPr>
        <w:t>and/</w:t>
      </w:r>
      <w:r w:rsidR="00B732F6" w:rsidRPr="006213D1">
        <w:rPr>
          <w:rFonts w:ascii="Times New Roman" w:hAnsi="Times New Roman"/>
          <w:sz w:val="24"/>
          <w:szCs w:val="24"/>
        </w:rPr>
        <w:t xml:space="preserve">or sexual abusiveness toward other </w:t>
      </w:r>
      <w:r w:rsidR="00025C6B" w:rsidRPr="006213D1">
        <w:rPr>
          <w:rFonts w:ascii="Times New Roman" w:hAnsi="Times New Roman"/>
          <w:sz w:val="24"/>
          <w:szCs w:val="24"/>
        </w:rPr>
        <w:t>clie</w:t>
      </w:r>
      <w:r w:rsidR="00FD2CBE" w:rsidRPr="006213D1">
        <w:rPr>
          <w:rFonts w:ascii="Times New Roman" w:hAnsi="Times New Roman"/>
          <w:sz w:val="24"/>
          <w:szCs w:val="24"/>
        </w:rPr>
        <w:t>nts</w:t>
      </w:r>
      <w:r w:rsidR="00B732F6" w:rsidRPr="006213D1">
        <w:rPr>
          <w:rFonts w:ascii="Times New Roman" w:hAnsi="Times New Roman"/>
          <w:sz w:val="24"/>
          <w:szCs w:val="24"/>
        </w:rPr>
        <w:t xml:space="preserve">.  The </w:t>
      </w:r>
      <w:r w:rsidR="00FD2CBE" w:rsidRPr="006213D1">
        <w:rPr>
          <w:rFonts w:ascii="Times New Roman" w:hAnsi="Times New Roman"/>
          <w:sz w:val="24"/>
          <w:szCs w:val="24"/>
        </w:rPr>
        <w:t>results of the screening tool are</w:t>
      </w:r>
      <w:r w:rsidR="00B732F6" w:rsidRPr="006213D1">
        <w:rPr>
          <w:rFonts w:ascii="Times New Roman" w:hAnsi="Times New Roman"/>
          <w:sz w:val="24"/>
          <w:szCs w:val="24"/>
        </w:rPr>
        <w:t xml:space="preserve"> </w:t>
      </w:r>
      <w:r w:rsidR="00700A29" w:rsidRPr="006213D1">
        <w:rPr>
          <w:rFonts w:ascii="Times New Roman" w:hAnsi="Times New Roman"/>
          <w:sz w:val="24"/>
          <w:szCs w:val="24"/>
        </w:rPr>
        <w:t xml:space="preserve">used </w:t>
      </w:r>
      <w:r w:rsidR="00B732F6" w:rsidRPr="006213D1">
        <w:rPr>
          <w:rFonts w:ascii="Times New Roman" w:hAnsi="Times New Roman"/>
          <w:sz w:val="24"/>
          <w:szCs w:val="24"/>
        </w:rPr>
        <w:t xml:space="preserve">to </w:t>
      </w:r>
      <w:r w:rsidR="00FD2CBE" w:rsidRPr="006213D1">
        <w:rPr>
          <w:rFonts w:ascii="Times New Roman" w:hAnsi="Times New Roman"/>
          <w:sz w:val="24"/>
          <w:szCs w:val="24"/>
        </w:rPr>
        <w:t>make housing, bed</w:t>
      </w:r>
      <w:r w:rsidR="00B732F6" w:rsidRPr="006213D1">
        <w:rPr>
          <w:rFonts w:ascii="Times New Roman" w:hAnsi="Times New Roman"/>
          <w:sz w:val="24"/>
          <w:szCs w:val="24"/>
        </w:rPr>
        <w:t xml:space="preserve">, </w:t>
      </w:r>
      <w:r w:rsidR="00FD2CBE" w:rsidRPr="006213D1">
        <w:rPr>
          <w:rFonts w:ascii="Times New Roman" w:hAnsi="Times New Roman"/>
          <w:sz w:val="24"/>
          <w:szCs w:val="24"/>
        </w:rPr>
        <w:t>program, education, and level assignments;</w:t>
      </w:r>
      <w:r w:rsidR="00B732F6" w:rsidRPr="006213D1">
        <w:rPr>
          <w:rFonts w:ascii="Times New Roman" w:hAnsi="Times New Roman"/>
          <w:sz w:val="24"/>
          <w:szCs w:val="24"/>
        </w:rPr>
        <w:t xml:space="preserve"> with the </w:t>
      </w:r>
      <w:r w:rsidR="00025C6B" w:rsidRPr="006213D1">
        <w:rPr>
          <w:rFonts w:ascii="Times New Roman" w:hAnsi="Times New Roman"/>
          <w:sz w:val="24"/>
          <w:szCs w:val="24"/>
        </w:rPr>
        <w:t xml:space="preserve">ultimate </w:t>
      </w:r>
      <w:r w:rsidR="00B732F6" w:rsidRPr="006213D1">
        <w:rPr>
          <w:rFonts w:ascii="Times New Roman" w:hAnsi="Times New Roman"/>
          <w:sz w:val="24"/>
          <w:szCs w:val="24"/>
        </w:rPr>
        <w:t xml:space="preserve">goal of keeping all </w:t>
      </w:r>
      <w:r w:rsidR="00025C6B" w:rsidRPr="006213D1">
        <w:rPr>
          <w:rFonts w:ascii="Times New Roman" w:hAnsi="Times New Roman"/>
          <w:sz w:val="24"/>
          <w:szCs w:val="24"/>
        </w:rPr>
        <w:t>clients</w:t>
      </w:r>
      <w:r w:rsidR="00B732F6" w:rsidRPr="006213D1">
        <w:rPr>
          <w:rFonts w:ascii="Times New Roman" w:hAnsi="Times New Roman"/>
          <w:sz w:val="24"/>
          <w:szCs w:val="24"/>
        </w:rPr>
        <w:t xml:space="preserve"> safe and free </w:t>
      </w:r>
      <w:r w:rsidR="000918A6" w:rsidRPr="006213D1">
        <w:rPr>
          <w:rFonts w:ascii="Times New Roman" w:hAnsi="Times New Roman"/>
          <w:sz w:val="24"/>
          <w:szCs w:val="24"/>
        </w:rPr>
        <w:t xml:space="preserve">from sexual abuse and sexual harassment. </w:t>
      </w:r>
      <w:r w:rsidR="00FD2CBE" w:rsidRPr="006213D1">
        <w:rPr>
          <w:rFonts w:ascii="Times New Roman" w:hAnsi="Times New Roman"/>
          <w:sz w:val="24"/>
          <w:szCs w:val="24"/>
        </w:rPr>
        <w:t xml:space="preserve"> </w:t>
      </w:r>
      <w:r w:rsidR="000C6CDA" w:rsidRPr="006213D1">
        <w:rPr>
          <w:rFonts w:ascii="Times New Roman" w:hAnsi="Times New Roman"/>
          <w:sz w:val="24"/>
          <w:szCs w:val="24"/>
        </w:rPr>
        <w:t xml:space="preserve">The department uses the instrument to identify </w:t>
      </w:r>
      <w:r w:rsidR="00025C6B" w:rsidRPr="006213D1">
        <w:rPr>
          <w:rFonts w:ascii="Times New Roman" w:hAnsi="Times New Roman"/>
          <w:sz w:val="24"/>
          <w:szCs w:val="24"/>
        </w:rPr>
        <w:t>clients</w:t>
      </w:r>
      <w:r w:rsidR="000C6CDA" w:rsidRPr="006213D1">
        <w:rPr>
          <w:rFonts w:ascii="Times New Roman" w:hAnsi="Times New Roman"/>
          <w:sz w:val="24"/>
          <w:szCs w:val="24"/>
        </w:rPr>
        <w:t xml:space="preserve"> as having a vulnerability of victimization </w:t>
      </w:r>
      <w:r w:rsidR="0058483D" w:rsidRPr="006213D1">
        <w:rPr>
          <w:rFonts w:ascii="Times New Roman" w:hAnsi="Times New Roman"/>
          <w:sz w:val="24"/>
          <w:szCs w:val="24"/>
        </w:rPr>
        <w:t xml:space="preserve">(VV) </w:t>
      </w:r>
      <w:r w:rsidR="000C6CDA" w:rsidRPr="006213D1">
        <w:rPr>
          <w:rFonts w:ascii="Times New Roman" w:hAnsi="Times New Roman"/>
          <w:sz w:val="24"/>
          <w:szCs w:val="24"/>
        </w:rPr>
        <w:t>and/or sexually aggressive</w:t>
      </w:r>
      <w:r w:rsidR="0058483D" w:rsidRPr="006213D1">
        <w:rPr>
          <w:rFonts w:ascii="Times New Roman" w:hAnsi="Times New Roman"/>
          <w:sz w:val="24"/>
          <w:szCs w:val="24"/>
        </w:rPr>
        <w:t xml:space="preserve"> (SA)</w:t>
      </w:r>
      <w:r w:rsidR="000C6CDA" w:rsidRPr="006213D1">
        <w:rPr>
          <w:rFonts w:ascii="Times New Roman" w:hAnsi="Times New Roman"/>
          <w:sz w:val="24"/>
          <w:szCs w:val="24"/>
        </w:rPr>
        <w:t xml:space="preserve">.  These categories help ensure </w:t>
      </w:r>
      <w:r w:rsidR="00025C6B" w:rsidRPr="006213D1">
        <w:rPr>
          <w:rFonts w:ascii="Times New Roman" w:hAnsi="Times New Roman"/>
          <w:sz w:val="24"/>
          <w:szCs w:val="24"/>
        </w:rPr>
        <w:t>clients</w:t>
      </w:r>
      <w:r w:rsidR="000C6CDA" w:rsidRPr="006213D1">
        <w:rPr>
          <w:rFonts w:ascii="Times New Roman" w:hAnsi="Times New Roman"/>
          <w:sz w:val="24"/>
          <w:szCs w:val="24"/>
        </w:rPr>
        <w:t xml:space="preserve"> are not housed together and that staff are more vigilant in their daily observations of </w:t>
      </w:r>
      <w:r w:rsidR="00025C6B" w:rsidRPr="006213D1">
        <w:rPr>
          <w:rFonts w:ascii="Times New Roman" w:hAnsi="Times New Roman"/>
          <w:sz w:val="24"/>
          <w:szCs w:val="24"/>
        </w:rPr>
        <w:t>clients</w:t>
      </w:r>
      <w:r w:rsidR="000C6CDA" w:rsidRPr="006213D1">
        <w:rPr>
          <w:rFonts w:ascii="Times New Roman" w:hAnsi="Times New Roman"/>
          <w:sz w:val="24"/>
          <w:szCs w:val="24"/>
        </w:rPr>
        <w:t xml:space="preserve">.  </w:t>
      </w:r>
      <w:r w:rsidR="00FD2CBE" w:rsidRPr="006213D1">
        <w:rPr>
          <w:rFonts w:ascii="Times New Roman" w:hAnsi="Times New Roman"/>
          <w:sz w:val="24"/>
          <w:szCs w:val="24"/>
        </w:rPr>
        <w:t xml:space="preserve"> </w:t>
      </w:r>
      <w:r w:rsidR="0058483D" w:rsidRPr="006213D1">
        <w:rPr>
          <w:rFonts w:ascii="Times New Roman" w:hAnsi="Times New Roman"/>
          <w:sz w:val="24"/>
          <w:szCs w:val="24"/>
        </w:rPr>
        <w:t>The PREA Compliance Manager shall determine housing and programming assignments on a case-by-case basis for all transgender and intersex clients. All transgender / intersex housing assignments must be documented on the screening tool to show if the client was housed by their gender identity or if the client presented safety and security concerns that prevented the assignment from being approve</w:t>
      </w:r>
      <w:r w:rsidR="0058483D" w:rsidRPr="0032319A">
        <w:rPr>
          <w:rFonts w:ascii="Times New Roman" w:hAnsi="Times New Roman"/>
          <w:sz w:val="24"/>
          <w:szCs w:val="24"/>
        </w:rPr>
        <w:t xml:space="preserve">d.  </w:t>
      </w:r>
      <w:bookmarkStart w:id="0" w:name="_GoBack"/>
      <w:bookmarkEnd w:id="0"/>
    </w:p>
    <w:p w14:paraId="32AE243D" w14:textId="6B3CB6E5" w:rsidR="00323716" w:rsidRPr="0032319A" w:rsidRDefault="00185D98" w:rsidP="002B1C4F">
      <w:pPr>
        <w:numPr>
          <w:ilvl w:val="0"/>
          <w:numId w:val="10"/>
        </w:numPr>
        <w:jc w:val="both"/>
        <w:rPr>
          <w:rFonts w:ascii="Times New Roman" w:hAnsi="Times New Roman"/>
          <w:sz w:val="24"/>
          <w:szCs w:val="24"/>
        </w:rPr>
      </w:pPr>
      <w:r w:rsidRPr="0032319A">
        <w:rPr>
          <w:rFonts w:ascii="Times New Roman" w:hAnsi="Times New Roman"/>
          <w:sz w:val="24"/>
          <w:szCs w:val="24"/>
        </w:rPr>
        <w:t>JDF</w:t>
      </w:r>
      <w:r w:rsidR="00323716" w:rsidRPr="0032319A">
        <w:rPr>
          <w:rFonts w:ascii="Times New Roman" w:hAnsi="Times New Roman"/>
          <w:sz w:val="24"/>
          <w:szCs w:val="24"/>
        </w:rPr>
        <w:t xml:space="preserve"> / JRF </w:t>
      </w:r>
      <w:r w:rsidR="00542CC3" w:rsidRPr="0032319A">
        <w:rPr>
          <w:rFonts w:ascii="Times New Roman" w:hAnsi="Times New Roman"/>
          <w:sz w:val="24"/>
          <w:szCs w:val="24"/>
        </w:rPr>
        <w:t xml:space="preserve">facilities </w:t>
      </w:r>
      <w:r w:rsidR="00CC33CB" w:rsidRPr="0032319A">
        <w:rPr>
          <w:rFonts w:ascii="Times New Roman" w:hAnsi="Times New Roman"/>
          <w:sz w:val="24"/>
          <w:szCs w:val="24"/>
        </w:rPr>
        <w:t>use</w:t>
      </w:r>
      <w:r w:rsidRPr="0032319A">
        <w:rPr>
          <w:rFonts w:ascii="Times New Roman" w:hAnsi="Times New Roman"/>
          <w:sz w:val="24"/>
          <w:szCs w:val="24"/>
        </w:rPr>
        <w:t xml:space="preserve"> </w:t>
      </w:r>
      <w:r w:rsidR="006D4975" w:rsidRPr="0032319A">
        <w:rPr>
          <w:rFonts w:ascii="Times New Roman" w:hAnsi="Times New Roman"/>
          <w:sz w:val="24"/>
          <w:szCs w:val="24"/>
        </w:rPr>
        <w:t xml:space="preserve">the </w:t>
      </w:r>
      <w:r w:rsidR="00F73C95" w:rsidRPr="0032319A">
        <w:rPr>
          <w:rFonts w:ascii="Times New Roman" w:hAnsi="Times New Roman"/>
          <w:sz w:val="24"/>
          <w:szCs w:val="24"/>
        </w:rPr>
        <w:t>Medical Behavioral Health Admi</w:t>
      </w:r>
      <w:r w:rsidR="00191BB1" w:rsidRPr="0032319A">
        <w:rPr>
          <w:rFonts w:ascii="Times New Roman" w:hAnsi="Times New Roman"/>
          <w:sz w:val="24"/>
          <w:szCs w:val="24"/>
        </w:rPr>
        <w:t>ssion Screening HA-2.0</w:t>
      </w:r>
      <w:r w:rsidR="00F73C95" w:rsidRPr="0032319A">
        <w:rPr>
          <w:rFonts w:ascii="Times New Roman" w:hAnsi="Times New Roman"/>
          <w:sz w:val="24"/>
          <w:szCs w:val="24"/>
        </w:rPr>
        <w:t xml:space="preserve">, developed </w:t>
      </w:r>
      <w:r w:rsidR="00E922F1" w:rsidRPr="0032319A">
        <w:rPr>
          <w:rFonts w:ascii="Times New Roman" w:hAnsi="Times New Roman"/>
          <w:sz w:val="24"/>
          <w:szCs w:val="24"/>
        </w:rPr>
        <w:t>with</w:t>
      </w:r>
      <w:r w:rsidR="00F73C95" w:rsidRPr="0032319A">
        <w:rPr>
          <w:rFonts w:ascii="Times New Roman" w:hAnsi="Times New Roman"/>
          <w:sz w:val="24"/>
          <w:szCs w:val="24"/>
        </w:rPr>
        <w:t xml:space="preserve"> Mental Health contractor </w:t>
      </w:r>
      <w:proofErr w:type="spellStart"/>
      <w:r w:rsidR="00F73C95" w:rsidRPr="0032319A">
        <w:rPr>
          <w:rFonts w:ascii="Times New Roman" w:hAnsi="Times New Roman"/>
          <w:sz w:val="24"/>
          <w:szCs w:val="24"/>
        </w:rPr>
        <w:t>VitalCore</w:t>
      </w:r>
      <w:proofErr w:type="spellEnd"/>
      <w:r w:rsidR="00F73C95" w:rsidRPr="0032319A">
        <w:rPr>
          <w:rFonts w:ascii="Times New Roman" w:hAnsi="Times New Roman"/>
          <w:sz w:val="24"/>
          <w:szCs w:val="24"/>
        </w:rPr>
        <w:t xml:space="preserve">. </w:t>
      </w:r>
      <w:r w:rsidR="00E74CB7" w:rsidRPr="0032319A">
        <w:rPr>
          <w:rFonts w:ascii="Times New Roman" w:hAnsi="Times New Roman"/>
          <w:sz w:val="24"/>
          <w:szCs w:val="24"/>
        </w:rPr>
        <w:t>These forms are completed electronically and kept in the in the COREMR system. If clients transfer from JDF to JRF, staff complete the Housing Classification Tool.</w:t>
      </w:r>
    </w:p>
    <w:p w14:paraId="5DB10ACE" w14:textId="25457E88" w:rsidR="00BA6333" w:rsidRPr="0032319A" w:rsidRDefault="00443D16" w:rsidP="002B1C4F">
      <w:pPr>
        <w:numPr>
          <w:ilvl w:val="0"/>
          <w:numId w:val="10"/>
        </w:numPr>
        <w:jc w:val="both"/>
        <w:rPr>
          <w:rFonts w:ascii="Times New Roman" w:hAnsi="Times New Roman"/>
          <w:sz w:val="24"/>
          <w:szCs w:val="24"/>
        </w:rPr>
      </w:pPr>
      <w:r w:rsidRPr="0032319A">
        <w:rPr>
          <w:rFonts w:ascii="Times New Roman" w:hAnsi="Times New Roman"/>
          <w:sz w:val="24"/>
          <w:szCs w:val="24"/>
        </w:rPr>
        <w:t xml:space="preserve">The ARES/WR facility </w:t>
      </w:r>
      <w:r w:rsidR="00BA6333" w:rsidRPr="0032319A">
        <w:rPr>
          <w:rFonts w:ascii="Times New Roman" w:hAnsi="Times New Roman"/>
          <w:sz w:val="24"/>
          <w:szCs w:val="24"/>
        </w:rPr>
        <w:t>use</w:t>
      </w:r>
      <w:r w:rsidRPr="0032319A">
        <w:rPr>
          <w:rFonts w:ascii="Times New Roman" w:hAnsi="Times New Roman"/>
          <w:sz w:val="24"/>
          <w:szCs w:val="24"/>
        </w:rPr>
        <w:t>s</w:t>
      </w:r>
      <w:r w:rsidR="00BA6333" w:rsidRPr="0032319A">
        <w:rPr>
          <w:rFonts w:ascii="Times New Roman" w:hAnsi="Times New Roman"/>
          <w:sz w:val="24"/>
          <w:szCs w:val="24"/>
        </w:rPr>
        <w:t xml:space="preserve"> the </w:t>
      </w:r>
      <w:r w:rsidR="008E2B87" w:rsidRPr="0032319A">
        <w:rPr>
          <w:rFonts w:ascii="Times New Roman" w:hAnsi="Times New Roman"/>
          <w:sz w:val="24"/>
          <w:szCs w:val="24"/>
        </w:rPr>
        <w:t>ARES Screening</w:t>
      </w:r>
      <w:r w:rsidR="00BA6333" w:rsidRPr="0032319A">
        <w:rPr>
          <w:rFonts w:ascii="Times New Roman" w:hAnsi="Times New Roman"/>
          <w:sz w:val="24"/>
          <w:szCs w:val="24"/>
        </w:rPr>
        <w:t xml:space="preserve"> fo</w:t>
      </w:r>
      <w:r w:rsidR="00191BB1" w:rsidRPr="0032319A">
        <w:rPr>
          <w:rFonts w:ascii="Times New Roman" w:hAnsi="Times New Roman"/>
          <w:sz w:val="24"/>
          <w:szCs w:val="24"/>
        </w:rPr>
        <w:t>r Victimization and Abusiveness.</w:t>
      </w:r>
      <w:r w:rsidR="000C6CDA" w:rsidRPr="0032319A">
        <w:rPr>
          <w:rFonts w:ascii="Times New Roman" w:hAnsi="Times New Roman"/>
          <w:sz w:val="24"/>
          <w:szCs w:val="24"/>
        </w:rPr>
        <w:t xml:space="preserve"> </w:t>
      </w:r>
      <w:r w:rsidR="00E74CB7" w:rsidRPr="0032319A">
        <w:rPr>
          <w:rFonts w:ascii="Times New Roman" w:hAnsi="Times New Roman"/>
          <w:sz w:val="24"/>
          <w:szCs w:val="24"/>
        </w:rPr>
        <w:t xml:space="preserve">In 2025, the ARES/WR facility received funding to have Medical Contractor </w:t>
      </w:r>
      <w:proofErr w:type="spellStart"/>
      <w:r w:rsidR="00E74CB7" w:rsidRPr="0032319A">
        <w:rPr>
          <w:rFonts w:ascii="Times New Roman" w:hAnsi="Times New Roman"/>
          <w:sz w:val="24"/>
          <w:szCs w:val="24"/>
        </w:rPr>
        <w:t>VitalCore</w:t>
      </w:r>
      <w:proofErr w:type="spellEnd"/>
      <w:r w:rsidR="00E74CB7" w:rsidRPr="0032319A">
        <w:rPr>
          <w:rFonts w:ascii="Times New Roman" w:hAnsi="Times New Roman"/>
          <w:sz w:val="24"/>
          <w:szCs w:val="24"/>
        </w:rPr>
        <w:t xml:space="preserve"> work in the program. </w:t>
      </w:r>
      <w:proofErr w:type="spellStart"/>
      <w:r w:rsidR="00E74CB7" w:rsidRPr="0032319A">
        <w:rPr>
          <w:rFonts w:ascii="Times New Roman" w:hAnsi="Times New Roman"/>
          <w:sz w:val="24"/>
          <w:szCs w:val="24"/>
        </w:rPr>
        <w:t>VitalCore</w:t>
      </w:r>
      <w:proofErr w:type="spellEnd"/>
      <w:r w:rsidR="00E74CB7" w:rsidRPr="0032319A">
        <w:rPr>
          <w:rFonts w:ascii="Times New Roman" w:hAnsi="Times New Roman"/>
          <w:sz w:val="24"/>
          <w:szCs w:val="24"/>
        </w:rPr>
        <w:t xml:space="preserve"> completes a Medical Behavioral Health Admiss</w:t>
      </w:r>
      <w:r w:rsidR="00191BB1" w:rsidRPr="0032319A">
        <w:rPr>
          <w:rFonts w:ascii="Times New Roman" w:hAnsi="Times New Roman"/>
          <w:sz w:val="24"/>
          <w:szCs w:val="24"/>
        </w:rPr>
        <w:t>ion Screening – HA-2.0</w:t>
      </w:r>
      <w:r w:rsidR="00E74CB7" w:rsidRPr="0032319A">
        <w:rPr>
          <w:rFonts w:ascii="Times New Roman" w:hAnsi="Times New Roman"/>
          <w:sz w:val="24"/>
          <w:szCs w:val="24"/>
        </w:rPr>
        <w:t>. These forms are completed electr</w:t>
      </w:r>
      <w:r w:rsidR="002C7F40" w:rsidRPr="0032319A">
        <w:rPr>
          <w:rFonts w:ascii="Times New Roman" w:hAnsi="Times New Roman"/>
          <w:sz w:val="24"/>
          <w:szCs w:val="24"/>
        </w:rPr>
        <w:t xml:space="preserve">onically and kept in the </w:t>
      </w:r>
      <w:r w:rsidR="00E74CB7" w:rsidRPr="0032319A">
        <w:rPr>
          <w:rFonts w:ascii="Times New Roman" w:hAnsi="Times New Roman"/>
          <w:sz w:val="24"/>
          <w:szCs w:val="24"/>
        </w:rPr>
        <w:t>COREMR system.</w:t>
      </w:r>
    </w:p>
    <w:p w14:paraId="6BF86816" w14:textId="77777777" w:rsidR="00B732F6" w:rsidRDefault="00B732F6" w:rsidP="002B1C4F">
      <w:pPr>
        <w:spacing w:after="0"/>
        <w:rPr>
          <w:rFonts w:ascii="Times New Roman" w:hAnsi="Times New Roman"/>
          <w:b/>
          <w:sz w:val="24"/>
          <w:szCs w:val="24"/>
        </w:rPr>
      </w:pPr>
      <w:r w:rsidRPr="006213D1">
        <w:rPr>
          <w:rFonts w:ascii="Times New Roman" w:hAnsi="Times New Roman"/>
          <w:b/>
          <w:sz w:val="24"/>
          <w:szCs w:val="24"/>
        </w:rPr>
        <w:t>Cooperative Agreements</w:t>
      </w:r>
      <w:r w:rsidR="00212EED" w:rsidRPr="006213D1">
        <w:rPr>
          <w:rFonts w:ascii="Times New Roman" w:hAnsi="Times New Roman"/>
          <w:b/>
          <w:sz w:val="24"/>
          <w:szCs w:val="24"/>
        </w:rPr>
        <w:t xml:space="preserve"> and Contracts</w:t>
      </w:r>
    </w:p>
    <w:p w14:paraId="305E2227" w14:textId="77777777" w:rsidR="006213D1" w:rsidRPr="006213D1" w:rsidRDefault="006213D1" w:rsidP="002B1C4F">
      <w:pPr>
        <w:spacing w:after="0"/>
        <w:rPr>
          <w:rFonts w:ascii="Times New Roman" w:hAnsi="Times New Roman"/>
          <w:b/>
          <w:sz w:val="24"/>
          <w:szCs w:val="24"/>
        </w:rPr>
      </w:pPr>
    </w:p>
    <w:p w14:paraId="33BDF95F" w14:textId="77777777" w:rsidR="00B732F6" w:rsidRPr="006213D1" w:rsidRDefault="00B732F6" w:rsidP="002B1C4F">
      <w:pPr>
        <w:jc w:val="both"/>
        <w:rPr>
          <w:rFonts w:ascii="Times New Roman" w:hAnsi="Times New Roman"/>
          <w:sz w:val="24"/>
          <w:szCs w:val="24"/>
        </w:rPr>
      </w:pPr>
      <w:r w:rsidRPr="006213D1">
        <w:rPr>
          <w:rFonts w:ascii="Times New Roman" w:hAnsi="Times New Roman"/>
          <w:sz w:val="24"/>
          <w:szCs w:val="24"/>
        </w:rPr>
        <w:t>SCDOC has entered into several agreements</w:t>
      </w:r>
      <w:r w:rsidR="00CC33CB" w:rsidRPr="006213D1">
        <w:rPr>
          <w:rFonts w:ascii="Times New Roman" w:hAnsi="Times New Roman"/>
          <w:sz w:val="24"/>
          <w:szCs w:val="24"/>
        </w:rPr>
        <w:t xml:space="preserve"> </w:t>
      </w:r>
      <w:r w:rsidR="00834291" w:rsidRPr="006213D1">
        <w:rPr>
          <w:rFonts w:ascii="Times New Roman" w:hAnsi="Times New Roman"/>
          <w:sz w:val="24"/>
          <w:szCs w:val="24"/>
        </w:rPr>
        <w:t>/</w:t>
      </w:r>
      <w:r w:rsidR="00CC33CB" w:rsidRPr="006213D1">
        <w:rPr>
          <w:rFonts w:ascii="Times New Roman" w:hAnsi="Times New Roman"/>
          <w:sz w:val="24"/>
          <w:szCs w:val="24"/>
        </w:rPr>
        <w:t xml:space="preserve"> </w:t>
      </w:r>
      <w:r w:rsidR="00834291" w:rsidRPr="006213D1">
        <w:rPr>
          <w:rFonts w:ascii="Times New Roman" w:hAnsi="Times New Roman"/>
          <w:sz w:val="24"/>
          <w:szCs w:val="24"/>
        </w:rPr>
        <w:t>contracts</w:t>
      </w:r>
      <w:r w:rsidRPr="006213D1">
        <w:rPr>
          <w:rFonts w:ascii="Times New Roman" w:hAnsi="Times New Roman"/>
          <w:sz w:val="24"/>
          <w:szCs w:val="24"/>
        </w:rPr>
        <w:t xml:space="preserve"> with other agencies in order to provide the best services to </w:t>
      </w:r>
      <w:r w:rsidR="00212EED" w:rsidRPr="006213D1">
        <w:rPr>
          <w:rFonts w:ascii="Times New Roman" w:hAnsi="Times New Roman"/>
          <w:sz w:val="24"/>
          <w:szCs w:val="24"/>
        </w:rPr>
        <w:t xml:space="preserve">our </w:t>
      </w:r>
      <w:r w:rsidRPr="006213D1">
        <w:rPr>
          <w:rFonts w:ascii="Times New Roman" w:hAnsi="Times New Roman"/>
          <w:sz w:val="24"/>
          <w:szCs w:val="24"/>
        </w:rPr>
        <w:t>clients.</w:t>
      </w:r>
    </w:p>
    <w:p w14:paraId="1A148236" w14:textId="77777777" w:rsidR="00B732F6" w:rsidRPr="006213D1" w:rsidRDefault="00834291" w:rsidP="002B1C4F">
      <w:pPr>
        <w:numPr>
          <w:ilvl w:val="0"/>
          <w:numId w:val="5"/>
        </w:numPr>
        <w:jc w:val="both"/>
        <w:rPr>
          <w:rFonts w:ascii="Times New Roman" w:hAnsi="Times New Roman"/>
          <w:sz w:val="24"/>
          <w:szCs w:val="24"/>
        </w:rPr>
      </w:pPr>
      <w:r w:rsidRPr="006213D1">
        <w:rPr>
          <w:rFonts w:ascii="Times New Roman" w:hAnsi="Times New Roman"/>
          <w:sz w:val="24"/>
          <w:szCs w:val="24"/>
        </w:rPr>
        <w:t>Wichita Area Sexual Assault Center</w:t>
      </w:r>
    </w:p>
    <w:p w14:paraId="1FD41D26" w14:textId="77777777" w:rsidR="00834291" w:rsidRPr="006213D1" w:rsidRDefault="00834291" w:rsidP="002B1C4F">
      <w:pPr>
        <w:numPr>
          <w:ilvl w:val="0"/>
          <w:numId w:val="5"/>
        </w:numPr>
        <w:jc w:val="both"/>
        <w:rPr>
          <w:rFonts w:ascii="Times New Roman" w:hAnsi="Times New Roman"/>
          <w:sz w:val="24"/>
          <w:szCs w:val="24"/>
        </w:rPr>
      </w:pPr>
      <w:r w:rsidRPr="006213D1">
        <w:rPr>
          <w:rFonts w:ascii="Times New Roman" w:hAnsi="Times New Roman"/>
          <w:sz w:val="24"/>
          <w:szCs w:val="24"/>
        </w:rPr>
        <w:t>C</w:t>
      </w:r>
      <w:r w:rsidR="00BA6333" w:rsidRPr="006213D1">
        <w:rPr>
          <w:rFonts w:ascii="Times New Roman" w:hAnsi="Times New Roman"/>
          <w:sz w:val="24"/>
          <w:szCs w:val="24"/>
        </w:rPr>
        <w:t>OMCARE</w:t>
      </w:r>
    </w:p>
    <w:p w14:paraId="276EF1E1" w14:textId="61AAAD36" w:rsidR="00834291" w:rsidRPr="006213D1" w:rsidRDefault="00834291" w:rsidP="002B1C4F">
      <w:pPr>
        <w:numPr>
          <w:ilvl w:val="0"/>
          <w:numId w:val="5"/>
        </w:numPr>
        <w:jc w:val="both"/>
        <w:rPr>
          <w:rFonts w:ascii="Times New Roman" w:hAnsi="Times New Roman"/>
          <w:sz w:val="24"/>
          <w:szCs w:val="24"/>
        </w:rPr>
      </w:pPr>
      <w:r w:rsidRPr="006213D1">
        <w:rPr>
          <w:rFonts w:ascii="Times New Roman" w:hAnsi="Times New Roman"/>
          <w:sz w:val="24"/>
          <w:szCs w:val="24"/>
        </w:rPr>
        <w:t>Sedg</w:t>
      </w:r>
      <w:r w:rsidR="002C7F40">
        <w:rPr>
          <w:rFonts w:ascii="Times New Roman" w:hAnsi="Times New Roman"/>
          <w:sz w:val="24"/>
          <w:szCs w:val="24"/>
        </w:rPr>
        <w:t>wick County Sheriff’s Office</w:t>
      </w:r>
    </w:p>
    <w:p w14:paraId="66420B9E" w14:textId="2003C11F" w:rsidR="00834291" w:rsidRPr="006213D1" w:rsidRDefault="008E2B87" w:rsidP="002B1C4F">
      <w:pPr>
        <w:numPr>
          <w:ilvl w:val="0"/>
          <w:numId w:val="5"/>
        </w:numPr>
        <w:jc w:val="both"/>
        <w:rPr>
          <w:rFonts w:ascii="Times New Roman" w:hAnsi="Times New Roman"/>
          <w:sz w:val="24"/>
          <w:szCs w:val="24"/>
        </w:rPr>
      </w:pPr>
      <w:r w:rsidRPr="006213D1">
        <w:rPr>
          <w:rFonts w:ascii="Times New Roman" w:hAnsi="Times New Roman"/>
          <w:sz w:val="24"/>
          <w:szCs w:val="24"/>
        </w:rPr>
        <w:t xml:space="preserve">Ascension </w:t>
      </w:r>
      <w:r w:rsidR="00834291" w:rsidRPr="006213D1">
        <w:rPr>
          <w:rFonts w:ascii="Times New Roman" w:hAnsi="Times New Roman"/>
          <w:sz w:val="24"/>
          <w:szCs w:val="24"/>
        </w:rPr>
        <w:t>Via Christi</w:t>
      </w:r>
      <w:r w:rsidR="00542CC3" w:rsidRPr="006213D1">
        <w:rPr>
          <w:rFonts w:ascii="Times New Roman" w:hAnsi="Times New Roman"/>
          <w:sz w:val="24"/>
          <w:szCs w:val="24"/>
        </w:rPr>
        <w:t xml:space="preserve"> at</w:t>
      </w:r>
      <w:r w:rsidR="00834291" w:rsidRPr="006213D1">
        <w:rPr>
          <w:rFonts w:ascii="Times New Roman" w:hAnsi="Times New Roman"/>
          <w:sz w:val="24"/>
          <w:szCs w:val="24"/>
        </w:rPr>
        <w:t xml:space="preserve"> St. Jos</w:t>
      </w:r>
      <w:r w:rsidR="00290CDA" w:rsidRPr="006213D1">
        <w:rPr>
          <w:rFonts w:ascii="Times New Roman" w:hAnsi="Times New Roman"/>
          <w:sz w:val="24"/>
          <w:szCs w:val="24"/>
        </w:rPr>
        <w:t>eph Hospital (SANE/</w:t>
      </w:r>
      <w:r w:rsidR="00290CDA" w:rsidRPr="0032319A">
        <w:rPr>
          <w:rFonts w:ascii="Times New Roman" w:hAnsi="Times New Roman"/>
          <w:sz w:val="24"/>
          <w:szCs w:val="24"/>
        </w:rPr>
        <w:t>SAFE</w:t>
      </w:r>
      <w:r w:rsidR="00A97E2C">
        <w:rPr>
          <w:rFonts w:ascii="Times New Roman" w:hAnsi="Times New Roman"/>
          <w:sz w:val="24"/>
          <w:szCs w:val="24"/>
        </w:rPr>
        <w:t xml:space="preserve"> </w:t>
      </w:r>
      <w:r w:rsidR="00834291" w:rsidRPr="006213D1">
        <w:rPr>
          <w:rFonts w:ascii="Times New Roman" w:hAnsi="Times New Roman"/>
          <w:sz w:val="24"/>
          <w:szCs w:val="24"/>
        </w:rPr>
        <w:t>exams)</w:t>
      </w:r>
    </w:p>
    <w:p w14:paraId="0EC4A629" w14:textId="77777777" w:rsidR="004D7381" w:rsidRPr="006213D1" w:rsidRDefault="007A29CE" w:rsidP="002B1C4F">
      <w:pPr>
        <w:numPr>
          <w:ilvl w:val="0"/>
          <w:numId w:val="5"/>
        </w:numPr>
        <w:jc w:val="both"/>
        <w:rPr>
          <w:rFonts w:ascii="Times New Roman" w:hAnsi="Times New Roman"/>
          <w:sz w:val="24"/>
          <w:szCs w:val="24"/>
        </w:rPr>
      </w:pPr>
      <w:proofErr w:type="spellStart"/>
      <w:r w:rsidRPr="006213D1">
        <w:rPr>
          <w:rFonts w:ascii="Times New Roman" w:hAnsi="Times New Roman"/>
          <w:sz w:val="24"/>
          <w:szCs w:val="24"/>
        </w:rPr>
        <w:t>VitalCore</w:t>
      </w:r>
      <w:proofErr w:type="spellEnd"/>
      <w:r w:rsidRPr="006213D1">
        <w:rPr>
          <w:rFonts w:ascii="Times New Roman" w:hAnsi="Times New Roman"/>
          <w:sz w:val="24"/>
          <w:szCs w:val="24"/>
        </w:rPr>
        <w:t xml:space="preserve"> </w:t>
      </w:r>
    </w:p>
    <w:p w14:paraId="29272CBE" w14:textId="77777777" w:rsidR="00286A0F" w:rsidRPr="006213D1" w:rsidRDefault="008852B9" w:rsidP="002B1C4F">
      <w:pPr>
        <w:jc w:val="both"/>
        <w:rPr>
          <w:rFonts w:ascii="Times New Roman" w:hAnsi="Times New Roman"/>
          <w:sz w:val="24"/>
          <w:szCs w:val="24"/>
        </w:rPr>
      </w:pPr>
      <w:r w:rsidRPr="006213D1">
        <w:rPr>
          <w:rFonts w:ascii="Times New Roman" w:hAnsi="Times New Roman"/>
          <w:sz w:val="24"/>
          <w:szCs w:val="24"/>
        </w:rPr>
        <w:t>A</w:t>
      </w:r>
      <w:r w:rsidR="00542CC3" w:rsidRPr="006213D1">
        <w:rPr>
          <w:rFonts w:ascii="Times New Roman" w:hAnsi="Times New Roman"/>
          <w:sz w:val="24"/>
          <w:szCs w:val="24"/>
        </w:rPr>
        <w:t xml:space="preserve"> memorandum of agreement between </w:t>
      </w:r>
      <w:r w:rsidR="00707EFB" w:rsidRPr="006213D1">
        <w:rPr>
          <w:rFonts w:ascii="Times New Roman" w:hAnsi="Times New Roman"/>
          <w:sz w:val="24"/>
          <w:szCs w:val="24"/>
        </w:rPr>
        <w:t>the Wichita Area Sexual Assault Center (</w:t>
      </w:r>
      <w:r w:rsidR="00542CC3" w:rsidRPr="006213D1">
        <w:rPr>
          <w:rFonts w:ascii="Times New Roman" w:hAnsi="Times New Roman"/>
          <w:sz w:val="24"/>
          <w:szCs w:val="24"/>
        </w:rPr>
        <w:t>WASAC</w:t>
      </w:r>
      <w:r w:rsidR="00707EFB" w:rsidRPr="006213D1">
        <w:rPr>
          <w:rFonts w:ascii="Times New Roman" w:hAnsi="Times New Roman"/>
          <w:sz w:val="24"/>
          <w:szCs w:val="24"/>
        </w:rPr>
        <w:t>)</w:t>
      </w:r>
      <w:r w:rsidR="00542CC3" w:rsidRPr="006213D1">
        <w:rPr>
          <w:rFonts w:ascii="Times New Roman" w:hAnsi="Times New Roman"/>
          <w:sz w:val="24"/>
          <w:szCs w:val="24"/>
        </w:rPr>
        <w:t xml:space="preserve">, Ascension </w:t>
      </w:r>
      <w:proofErr w:type="gramStart"/>
      <w:r w:rsidR="00542CC3" w:rsidRPr="006213D1">
        <w:rPr>
          <w:rFonts w:ascii="Times New Roman" w:hAnsi="Times New Roman"/>
          <w:sz w:val="24"/>
          <w:szCs w:val="24"/>
        </w:rPr>
        <w:t>Via</w:t>
      </w:r>
      <w:proofErr w:type="gramEnd"/>
      <w:r w:rsidR="00542CC3" w:rsidRPr="006213D1">
        <w:rPr>
          <w:rFonts w:ascii="Times New Roman" w:hAnsi="Times New Roman"/>
          <w:sz w:val="24"/>
          <w:szCs w:val="24"/>
        </w:rPr>
        <w:t xml:space="preserve"> Christi at St. Joseph Hospital and SCDOC </w:t>
      </w:r>
      <w:r w:rsidR="00707EFB" w:rsidRPr="006213D1">
        <w:rPr>
          <w:rFonts w:ascii="Times New Roman" w:hAnsi="Times New Roman"/>
          <w:sz w:val="24"/>
          <w:szCs w:val="24"/>
        </w:rPr>
        <w:t>was signed in 2021</w:t>
      </w:r>
      <w:r w:rsidR="00542CC3" w:rsidRPr="006213D1">
        <w:rPr>
          <w:rFonts w:ascii="Times New Roman" w:hAnsi="Times New Roman"/>
          <w:sz w:val="24"/>
          <w:szCs w:val="24"/>
        </w:rPr>
        <w:t xml:space="preserve">.  </w:t>
      </w:r>
      <w:r w:rsidR="008E6B56" w:rsidRPr="006213D1">
        <w:rPr>
          <w:rFonts w:ascii="Times New Roman" w:hAnsi="Times New Roman"/>
          <w:sz w:val="24"/>
          <w:szCs w:val="24"/>
        </w:rPr>
        <w:t>This</w:t>
      </w:r>
      <w:r w:rsidRPr="006213D1">
        <w:rPr>
          <w:rFonts w:ascii="Times New Roman" w:hAnsi="Times New Roman"/>
          <w:sz w:val="24"/>
          <w:szCs w:val="24"/>
        </w:rPr>
        <w:t xml:space="preserve"> agreement outlines </w:t>
      </w:r>
      <w:r w:rsidR="009746AD" w:rsidRPr="006213D1">
        <w:rPr>
          <w:rFonts w:ascii="Times New Roman" w:hAnsi="Times New Roman"/>
          <w:sz w:val="24"/>
          <w:szCs w:val="24"/>
        </w:rPr>
        <w:t xml:space="preserve">the methodical process and services offered to clients that have been sexually abused; to include advocacy services, forensic medical </w:t>
      </w:r>
      <w:r w:rsidR="009746AD" w:rsidRPr="006213D1">
        <w:rPr>
          <w:rFonts w:ascii="Times New Roman" w:hAnsi="Times New Roman"/>
          <w:sz w:val="24"/>
          <w:szCs w:val="24"/>
        </w:rPr>
        <w:lastRenderedPageBreak/>
        <w:t xml:space="preserve">examination, tests for sexually transmitted infections, timely access to emergency contraception, and follow-up services at no cost to the victim. </w:t>
      </w:r>
    </w:p>
    <w:p w14:paraId="5EEC3130" w14:textId="77777777" w:rsidR="001B227D" w:rsidRPr="006213D1" w:rsidRDefault="001B227D" w:rsidP="002B1C4F">
      <w:pPr>
        <w:jc w:val="both"/>
        <w:rPr>
          <w:rFonts w:ascii="Times New Roman" w:hAnsi="Times New Roman"/>
          <w:sz w:val="24"/>
          <w:szCs w:val="24"/>
        </w:rPr>
      </w:pPr>
      <w:r w:rsidRPr="006213D1">
        <w:rPr>
          <w:rFonts w:ascii="Times New Roman" w:hAnsi="Times New Roman"/>
          <w:sz w:val="24"/>
          <w:szCs w:val="24"/>
        </w:rPr>
        <w:t>An</w:t>
      </w:r>
      <w:r w:rsidR="00730147" w:rsidRPr="006213D1">
        <w:rPr>
          <w:rFonts w:ascii="Times New Roman" w:hAnsi="Times New Roman"/>
          <w:sz w:val="24"/>
          <w:szCs w:val="24"/>
        </w:rPr>
        <w:t xml:space="preserve"> updated</w:t>
      </w:r>
      <w:r w:rsidRPr="006213D1">
        <w:rPr>
          <w:rFonts w:ascii="Times New Roman" w:hAnsi="Times New Roman"/>
          <w:sz w:val="24"/>
          <w:szCs w:val="24"/>
        </w:rPr>
        <w:t xml:space="preserve"> agreement with the Sedgwick County</w:t>
      </w:r>
      <w:r w:rsidR="00C34BD6" w:rsidRPr="006213D1">
        <w:rPr>
          <w:rFonts w:ascii="Times New Roman" w:hAnsi="Times New Roman"/>
          <w:sz w:val="24"/>
          <w:szCs w:val="24"/>
        </w:rPr>
        <w:t xml:space="preserve"> Sheriff’s Office and </w:t>
      </w:r>
      <w:r w:rsidR="00443D16" w:rsidRPr="006213D1">
        <w:rPr>
          <w:rFonts w:ascii="Times New Roman" w:hAnsi="Times New Roman"/>
          <w:sz w:val="24"/>
          <w:szCs w:val="24"/>
        </w:rPr>
        <w:t>SCDOC</w:t>
      </w:r>
      <w:r w:rsidR="00C34BD6" w:rsidRPr="006213D1">
        <w:rPr>
          <w:rFonts w:ascii="Times New Roman" w:hAnsi="Times New Roman"/>
          <w:sz w:val="24"/>
          <w:szCs w:val="24"/>
        </w:rPr>
        <w:t xml:space="preserve"> was signed in </w:t>
      </w:r>
      <w:r w:rsidR="00933BF5" w:rsidRPr="006213D1">
        <w:rPr>
          <w:rFonts w:ascii="Times New Roman" w:hAnsi="Times New Roman"/>
          <w:sz w:val="24"/>
          <w:szCs w:val="24"/>
        </w:rPr>
        <w:t>April 2024</w:t>
      </w:r>
      <w:r w:rsidR="00C34BD6" w:rsidRPr="006213D1">
        <w:rPr>
          <w:rFonts w:ascii="Times New Roman" w:hAnsi="Times New Roman"/>
          <w:sz w:val="24"/>
          <w:szCs w:val="24"/>
        </w:rPr>
        <w:t>.</w:t>
      </w:r>
      <w:r w:rsidRPr="006213D1">
        <w:rPr>
          <w:rFonts w:ascii="Times New Roman" w:hAnsi="Times New Roman"/>
          <w:sz w:val="24"/>
          <w:szCs w:val="24"/>
        </w:rPr>
        <w:t xml:space="preserve">  The purpose of the agreement is to collaborate with the Sheriff to provide investigative services in the event that an allegation of sexual abuse occurs at any SCDOC facility.  The agreement outlines </w:t>
      </w:r>
      <w:r w:rsidR="008771E1" w:rsidRPr="006213D1">
        <w:rPr>
          <w:rFonts w:ascii="Times New Roman" w:hAnsi="Times New Roman"/>
          <w:sz w:val="24"/>
          <w:szCs w:val="24"/>
        </w:rPr>
        <w:t xml:space="preserve">the </w:t>
      </w:r>
      <w:r w:rsidRPr="006213D1">
        <w:rPr>
          <w:rFonts w:ascii="Times New Roman" w:hAnsi="Times New Roman"/>
          <w:sz w:val="24"/>
          <w:szCs w:val="24"/>
        </w:rPr>
        <w:t>right</w:t>
      </w:r>
      <w:r w:rsidR="008771E1" w:rsidRPr="006213D1">
        <w:rPr>
          <w:rFonts w:ascii="Times New Roman" w:hAnsi="Times New Roman"/>
          <w:sz w:val="24"/>
          <w:szCs w:val="24"/>
        </w:rPr>
        <w:t>s</w:t>
      </w:r>
      <w:r w:rsidRPr="006213D1">
        <w:rPr>
          <w:rFonts w:ascii="Times New Roman" w:hAnsi="Times New Roman"/>
          <w:sz w:val="24"/>
          <w:szCs w:val="24"/>
        </w:rPr>
        <w:t xml:space="preserve"> of the victim to have an advocate present during the forensic medical examination process and investigatory interviews.  It also states that communication between SCDOC and the Sheriff’s Office shall occur monthly regarding updates in order to create an SCDOC case record retention file.  </w:t>
      </w:r>
    </w:p>
    <w:p w14:paraId="2627F92C" w14:textId="77777777" w:rsidR="00443D16" w:rsidRPr="006213D1" w:rsidRDefault="00BA6333" w:rsidP="002B1C4F">
      <w:pPr>
        <w:jc w:val="both"/>
        <w:rPr>
          <w:rFonts w:ascii="Times New Roman" w:hAnsi="Times New Roman"/>
          <w:sz w:val="24"/>
          <w:szCs w:val="24"/>
        </w:rPr>
      </w:pPr>
      <w:r w:rsidRPr="006213D1">
        <w:rPr>
          <w:rFonts w:ascii="Times New Roman" w:hAnsi="Times New Roman"/>
          <w:sz w:val="24"/>
          <w:szCs w:val="24"/>
        </w:rPr>
        <w:t>COMCARE</w:t>
      </w:r>
      <w:r w:rsidR="00933BF5" w:rsidRPr="006213D1">
        <w:rPr>
          <w:rFonts w:ascii="Times New Roman" w:hAnsi="Times New Roman"/>
          <w:sz w:val="24"/>
          <w:szCs w:val="24"/>
        </w:rPr>
        <w:t>, the Sedgwick County Mental Health Center,</w:t>
      </w:r>
      <w:r w:rsidRPr="006213D1">
        <w:rPr>
          <w:rFonts w:ascii="Times New Roman" w:hAnsi="Times New Roman"/>
          <w:sz w:val="24"/>
          <w:szCs w:val="24"/>
        </w:rPr>
        <w:t xml:space="preserve"> signed a Letter of Support</w:t>
      </w:r>
      <w:r w:rsidR="00933BF5" w:rsidRPr="006213D1">
        <w:rPr>
          <w:rFonts w:ascii="Times New Roman" w:hAnsi="Times New Roman"/>
          <w:sz w:val="24"/>
          <w:szCs w:val="24"/>
        </w:rPr>
        <w:t xml:space="preserve"> on June 4, 2021 </w:t>
      </w:r>
      <w:r w:rsidR="00812AD6" w:rsidRPr="006213D1">
        <w:rPr>
          <w:rFonts w:ascii="Times New Roman" w:hAnsi="Times New Roman"/>
          <w:sz w:val="24"/>
          <w:szCs w:val="24"/>
        </w:rPr>
        <w:t xml:space="preserve">that shows their support for the </w:t>
      </w:r>
      <w:r w:rsidR="0000362F" w:rsidRPr="006213D1">
        <w:rPr>
          <w:rFonts w:ascii="Times New Roman" w:hAnsi="Times New Roman"/>
          <w:sz w:val="24"/>
          <w:szCs w:val="24"/>
        </w:rPr>
        <w:t>d</w:t>
      </w:r>
      <w:r w:rsidR="00A81316" w:rsidRPr="006213D1">
        <w:rPr>
          <w:rFonts w:ascii="Times New Roman" w:hAnsi="Times New Roman"/>
          <w:sz w:val="24"/>
          <w:szCs w:val="24"/>
        </w:rPr>
        <w:t>epartment</w:t>
      </w:r>
      <w:r w:rsidR="00812AD6" w:rsidRPr="006213D1">
        <w:rPr>
          <w:rFonts w:ascii="Times New Roman" w:hAnsi="Times New Roman"/>
          <w:sz w:val="24"/>
          <w:szCs w:val="24"/>
        </w:rPr>
        <w:t xml:space="preserve"> so that they may improve the quality of life for those affected by trauma and to show their support to being a PREA resource for the clients we serve. </w:t>
      </w:r>
    </w:p>
    <w:p w14:paraId="668ED4B0" w14:textId="77777777" w:rsidR="00561435" w:rsidRPr="006213D1" w:rsidRDefault="00561435" w:rsidP="006213D1">
      <w:pPr>
        <w:spacing w:line="240" w:lineRule="auto"/>
        <w:jc w:val="both"/>
        <w:rPr>
          <w:rFonts w:ascii="Times New Roman" w:hAnsi="Times New Roman"/>
          <w:b/>
          <w:sz w:val="24"/>
          <w:szCs w:val="24"/>
        </w:rPr>
      </w:pPr>
      <w:r w:rsidRPr="006213D1">
        <w:rPr>
          <w:rFonts w:ascii="Times New Roman" w:hAnsi="Times New Roman"/>
          <w:b/>
          <w:sz w:val="24"/>
          <w:szCs w:val="24"/>
        </w:rPr>
        <w:t>Statistics</w:t>
      </w:r>
    </w:p>
    <w:p w14:paraId="10825DA0" w14:textId="77777777" w:rsidR="00561435" w:rsidRPr="006213D1" w:rsidRDefault="00561435" w:rsidP="002B1C4F">
      <w:pPr>
        <w:jc w:val="both"/>
        <w:rPr>
          <w:rFonts w:ascii="Times New Roman" w:hAnsi="Times New Roman"/>
          <w:sz w:val="24"/>
          <w:szCs w:val="24"/>
        </w:rPr>
      </w:pPr>
      <w:r w:rsidRPr="006213D1">
        <w:rPr>
          <w:rFonts w:ascii="Times New Roman" w:hAnsi="Times New Roman"/>
          <w:sz w:val="24"/>
          <w:szCs w:val="24"/>
        </w:rPr>
        <w:t>SCDOC has</w:t>
      </w:r>
      <w:r w:rsidR="00472C60" w:rsidRPr="006213D1">
        <w:rPr>
          <w:rFonts w:ascii="Times New Roman" w:hAnsi="Times New Roman"/>
          <w:sz w:val="24"/>
          <w:szCs w:val="24"/>
        </w:rPr>
        <w:t xml:space="preserve"> </w:t>
      </w:r>
      <w:r w:rsidR="00CC33CB" w:rsidRPr="006213D1">
        <w:rPr>
          <w:rFonts w:ascii="Times New Roman" w:hAnsi="Times New Roman"/>
          <w:sz w:val="24"/>
          <w:szCs w:val="24"/>
        </w:rPr>
        <w:t>2</w:t>
      </w:r>
      <w:r w:rsidR="00472C60" w:rsidRPr="006213D1">
        <w:rPr>
          <w:rFonts w:ascii="Times New Roman" w:hAnsi="Times New Roman"/>
          <w:sz w:val="24"/>
          <w:szCs w:val="24"/>
        </w:rPr>
        <w:t xml:space="preserve"> licensed juvenile facilities and 1 </w:t>
      </w:r>
      <w:r w:rsidR="009B0C40" w:rsidRPr="006213D1">
        <w:rPr>
          <w:rFonts w:ascii="Times New Roman" w:hAnsi="Times New Roman"/>
          <w:sz w:val="24"/>
          <w:szCs w:val="24"/>
        </w:rPr>
        <w:t>adult community confinement</w:t>
      </w:r>
      <w:r w:rsidR="00472C60" w:rsidRPr="006213D1">
        <w:rPr>
          <w:rFonts w:ascii="Times New Roman" w:hAnsi="Times New Roman"/>
          <w:sz w:val="24"/>
          <w:szCs w:val="24"/>
        </w:rPr>
        <w:t xml:space="preserve"> facility,</w:t>
      </w:r>
      <w:r w:rsidRPr="006213D1">
        <w:rPr>
          <w:rFonts w:ascii="Times New Roman" w:hAnsi="Times New Roman"/>
          <w:sz w:val="24"/>
          <w:szCs w:val="24"/>
        </w:rPr>
        <w:t xml:space="preserve"> which are the following:</w:t>
      </w:r>
    </w:p>
    <w:p w14:paraId="744E7600" w14:textId="77777777" w:rsidR="00561435" w:rsidRPr="006213D1" w:rsidRDefault="00561435" w:rsidP="002B1C4F">
      <w:pPr>
        <w:numPr>
          <w:ilvl w:val="0"/>
          <w:numId w:val="6"/>
        </w:numPr>
        <w:jc w:val="both"/>
        <w:rPr>
          <w:rFonts w:ascii="Times New Roman" w:hAnsi="Times New Roman"/>
          <w:sz w:val="24"/>
          <w:szCs w:val="24"/>
        </w:rPr>
      </w:pPr>
      <w:r w:rsidRPr="006213D1">
        <w:rPr>
          <w:rFonts w:ascii="Times New Roman" w:hAnsi="Times New Roman"/>
          <w:sz w:val="24"/>
          <w:szCs w:val="24"/>
        </w:rPr>
        <w:t>Juvenile Detention Facility at 700 South Hydraulic in Wichita, KS.  The detention</w:t>
      </w:r>
      <w:r w:rsidR="00AE4B01" w:rsidRPr="006213D1">
        <w:rPr>
          <w:rFonts w:ascii="Times New Roman" w:hAnsi="Times New Roman"/>
          <w:sz w:val="24"/>
          <w:szCs w:val="24"/>
        </w:rPr>
        <w:t xml:space="preserve"> facility</w:t>
      </w:r>
      <w:r w:rsidRPr="006213D1">
        <w:rPr>
          <w:rFonts w:ascii="Times New Roman" w:hAnsi="Times New Roman"/>
          <w:sz w:val="24"/>
          <w:szCs w:val="24"/>
        </w:rPr>
        <w:t xml:space="preserve"> houses </w:t>
      </w:r>
      <w:r w:rsidR="004A4A3D" w:rsidRPr="006213D1">
        <w:rPr>
          <w:rFonts w:ascii="Times New Roman" w:hAnsi="Times New Roman"/>
          <w:sz w:val="24"/>
          <w:szCs w:val="24"/>
        </w:rPr>
        <w:t>youth</w:t>
      </w:r>
      <w:r w:rsidR="004A4A3D" w:rsidRPr="006213D1">
        <w:rPr>
          <w:rFonts w:ascii="Times New Roman" w:hAnsi="Times New Roman"/>
          <w:sz w:val="24"/>
          <w:szCs w:val="24"/>
          <w:shd w:val="clear" w:color="auto" w:fill="FFFF00"/>
        </w:rPr>
        <w:t xml:space="preserve"> </w:t>
      </w:r>
      <w:r w:rsidR="004A4A3D" w:rsidRPr="006213D1">
        <w:rPr>
          <w:rFonts w:ascii="Times New Roman" w:hAnsi="Times New Roman"/>
          <w:sz w:val="24"/>
          <w:szCs w:val="24"/>
        </w:rPr>
        <w:t>age 10 to 1</w:t>
      </w:r>
      <w:r w:rsidR="00CC039C" w:rsidRPr="006213D1">
        <w:rPr>
          <w:rFonts w:ascii="Times New Roman" w:hAnsi="Times New Roman"/>
          <w:sz w:val="24"/>
          <w:szCs w:val="24"/>
        </w:rPr>
        <w:t>7</w:t>
      </w:r>
      <w:r w:rsidR="0002304C" w:rsidRPr="006213D1">
        <w:rPr>
          <w:rFonts w:ascii="Times New Roman" w:hAnsi="Times New Roman"/>
          <w:sz w:val="24"/>
          <w:szCs w:val="24"/>
        </w:rPr>
        <w:t xml:space="preserve"> with a bed</w:t>
      </w:r>
      <w:r w:rsidR="00E226D5" w:rsidRPr="006213D1">
        <w:rPr>
          <w:rFonts w:ascii="Times New Roman" w:hAnsi="Times New Roman"/>
          <w:sz w:val="24"/>
          <w:szCs w:val="24"/>
        </w:rPr>
        <w:t xml:space="preserve"> capacity of 108.</w:t>
      </w:r>
    </w:p>
    <w:p w14:paraId="0111C4A8" w14:textId="77777777" w:rsidR="00561435" w:rsidRPr="006213D1" w:rsidRDefault="00561435" w:rsidP="002B1C4F">
      <w:pPr>
        <w:numPr>
          <w:ilvl w:val="0"/>
          <w:numId w:val="6"/>
        </w:numPr>
        <w:jc w:val="both"/>
        <w:rPr>
          <w:rFonts w:ascii="Times New Roman" w:hAnsi="Times New Roman"/>
          <w:sz w:val="24"/>
          <w:szCs w:val="24"/>
        </w:rPr>
      </w:pPr>
      <w:r w:rsidRPr="006213D1">
        <w:rPr>
          <w:rFonts w:ascii="Times New Roman" w:hAnsi="Times New Roman"/>
          <w:sz w:val="24"/>
          <w:szCs w:val="24"/>
        </w:rPr>
        <w:t xml:space="preserve">Juvenile Residential Facility at 881 South Minnesota in Wichita, KS.  The </w:t>
      </w:r>
      <w:r w:rsidR="00CC039C" w:rsidRPr="006213D1">
        <w:rPr>
          <w:rFonts w:ascii="Times New Roman" w:hAnsi="Times New Roman"/>
          <w:sz w:val="24"/>
          <w:szCs w:val="24"/>
        </w:rPr>
        <w:t>non-secure residential facility houses</w:t>
      </w:r>
      <w:r w:rsidRPr="006213D1">
        <w:rPr>
          <w:rFonts w:ascii="Times New Roman" w:hAnsi="Times New Roman"/>
          <w:sz w:val="24"/>
          <w:szCs w:val="24"/>
        </w:rPr>
        <w:t xml:space="preserve"> </w:t>
      </w:r>
      <w:r w:rsidR="0002304C" w:rsidRPr="006213D1">
        <w:rPr>
          <w:rFonts w:ascii="Times New Roman" w:hAnsi="Times New Roman"/>
          <w:sz w:val="24"/>
          <w:szCs w:val="24"/>
        </w:rPr>
        <w:t xml:space="preserve">any youth age 10 to 18 with a bed capacity of </w:t>
      </w:r>
      <w:r w:rsidR="00281C85" w:rsidRPr="006213D1">
        <w:rPr>
          <w:rFonts w:ascii="Times New Roman" w:hAnsi="Times New Roman"/>
          <w:sz w:val="24"/>
          <w:szCs w:val="24"/>
        </w:rPr>
        <w:t>16</w:t>
      </w:r>
      <w:r w:rsidR="0002304C" w:rsidRPr="006213D1">
        <w:rPr>
          <w:rFonts w:ascii="Times New Roman" w:hAnsi="Times New Roman"/>
          <w:sz w:val="24"/>
          <w:szCs w:val="24"/>
        </w:rPr>
        <w:t xml:space="preserve">. </w:t>
      </w:r>
    </w:p>
    <w:p w14:paraId="21B20ED1" w14:textId="77777777" w:rsidR="005E463E" w:rsidRPr="006213D1" w:rsidRDefault="005E463E" w:rsidP="002B1C4F">
      <w:pPr>
        <w:numPr>
          <w:ilvl w:val="0"/>
          <w:numId w:val="6"/>
        </w:numPr>
        <w:jc w:val="both"/>
        <w:rPr>
          <w:rFonts w:ascii="Times New Roman" w:hAnsi="Times New Roman"/>
          <w:sz w:val="24"/>
          <w:szCs w:val="24"/>
        </w:rPr>
      </w:pPr>
      <w:r w:rsidRPr="006213D1">
        <w:rPr>
          <w:rFonts w:ascii="Times New Roman" w:hAnsi="Times New Roman"/>
          <w:sz w:val="24"/>
          <w:szCs w:val="24"/>
        </w:rPr>
        <w:t xml:space="preserve">Adult Residential and </w:t>
      </w:r>
      <w:r w:rsidR="00350780" w:rsidRPr="006213D1">
        <w:rPr>
          <w:rFonts w:ascii="Times New Roman" w:hAnsi="Times New Roman"/>
          <w:sz w:val="24"/>
          <w:szCs w:val="24"/>
        </w:rPr>
        <w:t>Work Release</w:t>
      </w:r>
      <w:r w:rsidRPr="006213D1">
        <w:rPr>
          <w:rFonts w:ascii="Times New Roman" w:hAnsi="Times New Roman"/>
          <w:sz w:val="24"/>
          <w:szCs w:val="24"/>
        </w:rPr>
        <w:t xml:space="preserve"> at 623 East Elm in Wichita, KS.  </w:t>
      </w:r>
      <w:r w:rsidR="00730147" w:rsidRPr="006213D1">
        <w:rPr>
          <w:rFonts w:ascii="Times New Roman" w:hAnsi="Times New Roman"/>
          <w:sz w:val="24"/>
          <w:szCs w:val="24"/>
        </w:rPr>
        <w:t>The non-secure residential facility can house up to 178 adults.</w:t>
      </w:r>
    </w:p>
    <w:p w14:paraId="46EF1ABA" w14:textId="77777777" w:rsidR="002B3AC1" w:rsidRPr="006213D1" w:rsidRDefault="002B3AC1" w:rsidP="002B1C4F">
      <w:pPr>
        <w:jc w:val="both"/>
        <w:rPr>
          <w:rFonts w:ascii="Times New Roman" w:hAnsi="Times New Roman"/>
          <w:b/>
          <w:sz w:val="24"/>
          <w:szCs w:val="24"/>
        </w:rPr>
      </w:pPr>
      <w:r w:rsidRPr="006213D1">
        <w:rPr>
          <w:rFonts w:ascii="Times New Roman" w:hAnsi="Times New Roman"/>
          <w:b/>
          <w:sz w:val="24"/>
          <w:szCs w:val="24"/>
        </w:rPr>
        <w:t>Audit</w:t>
      </w:r>
    </w:p>
    <w:p w14:paraId="5DE13CC1" w14:textId="77777777" w:rsidR="002B3AC1" w:rsidRPr="006213D1" w:rsidRDefault="002B3AC1" w:rsidP="002B1C4F">
      <w:pPr>
        <w:jc w:val="both"/>
        <w:rPr>
          <w:rFonts w:ascii="Times New Roman" w:hAnsi="Times New Roman"/>
          <w:sz w:val="24"/>
          <w:szCs w:val="24"/>
        </w:rPr>
      </w:pPr>
      <w:r w:rsidRPr="006213D1">
        <w:rPr>
          <w:rFonts w:ascii="Times New Roman" w:hAnsi="Times New Roman"/>
          <w:sz w:val="24"/>
          <w:szCs w:val="24"/>
        </w:rPr>
        <w:t>Federal PREA standards require facilities to conduct a PREA Audit every three years, to ensure compliance. JDF and JRF are scheduled to have a</w:t>
      </w:r>
      <w:r w:rsidR="00B801AD" w:rsidRPr="006213D1">
        <w:rPr>
          <w:rFonts w:ascii="Times New Roman" w:hAnsi="Times New Roman"/>
          <w:sz w:val="24"/>
          <w:szCs w:val="24"/>
        </w:rPr>
        <w:t xml:space="preserve"> PREA Audit in 2025. ARES/WR is</w:t>
      </w:r>
      <w:r w:rsidRPr="006213D1">
        <w:rPr>
          <w:rFonts w:ascii="Times New Roman" w:hAnsi="Times New Roman"/>
          <w:sz w:val="24"/>
          <w:szCs w:val="24"/>
        </w:rPr>
        <w:t xml:space="preserve"> projected to have a PREA Audit in 2026. To obtain a PREA Audit, the department must hire an auditor certified by the Department of Justice.</w:t>
      </w:r>
      <w:r w:rsidR="0005588D" w:rsidRPr="006213D1">
        <w:rPr>
          <w:rFonts w:ascii="Times New Roman" w:hAnsi="Times New Roman"/>
          <w:sz w:val="24"/>
          <w:szCs w:val="24"/>
        </w:rPr>
        <w:t xml:space="preserve"> A finding of “Does Not Meet Standard” with one or more standards shall trigger a 180-day corrective action period. The auditor’s final report shall be published on the agency’s website or made readily available to the public.</w:t>
      </w:r>
    </w:p>
    <w:p w14:paraId="423CDC36" w14:textId="77777777" w:rsidR="002B1C4F" w:rsidRDefault="002B1C4F" w:rsidP="002B1C4F">
      <w:pPr>
        <w:spacing w:after="0" w:line="360" w:lineRule="auto"/>
        <w:jc w:val="center"/>
        <w:rPr>
          <w:rFonts w:ascii="Times New Roman" w:hAnsi="Times New Roman"/>
          <w:b/>
          <w:sz w:val="24"/>
          <w:szCs w:val="24"/>
        </w:rPr>
      </w:pPr>
    </w:p>
    <w:p w14:paraId="33D8E88C" w14:textId="77777777" w:rsidR="002B1C4F" w:rsidRDefault="002B1C4F" w:rsidP="002B1C4F">
      <w:pPr>
        <w:spacing w:after="0" w:line="360" w:lineRule="auto"/>
        <w:jc w:val="center"/>
        <w:rPr>
          <w:rFonts w:ascii="Times New Roman" w:hAnsi="Times New Roman"/>
          <w:b/>
          <w:sz w:val="24"/>
          <w:szCs w:val="24"/>
        </w:rPr>
      </w:pPr>
    </w:p>
    <w:p w14:paraId="235E100A" w14:textId="77777777" w:rsidR="002B1C4F" w:rsidRDefault="002B1C4F" w:rsidP="002B1C4F">
      <w:pPr>
        <w:spacing w:after="0" w:line="360" w:lineRule="auto"/>
        <w:jc w:val="center"/>
        <w:rPr>
          <w:rFonts w:ascii="Times New Roman" w:hAnsi="Times New Roman"/>
          <w:b/>
          <w:sz w:val="24"/>
          <w:szCs w:val="24"/>
        </w:rPr>
      </w:pPr>
    </w:p>
    <w:p w14:paraId="6A9A068E" w14:textId="77777777" w:rsidR="002B1C4F" w:rsidRDefault="002B1C4F" w:rsidP="002B1C4F">
      <w:pPr>
        <w:spacing w:after="0" w:line="360" w:lineRule="auto"/>
        <w:jc w:val="center"/>
        <w:rPr>
          <w:rFonts w:ascii="Times New Roman" w:hAnsi="Times New Roman"/>
          <w:b/>
          <w:sz w:val="24"/>
          <w:szCs w:val="24"/>
        </w:rPr>
      </w:pPr>
    </w:p>
    <w:p w14:paraId="31FA54E5" w14:textId="77777777" w:rsidR="002B1C4F" w:rsidRDefault="002B1C4F" w:rsidP="002B1C4F">
      <w:pPr>
        <w:spacing w:after="0" w:line="360" w:lineRule="auto"/>
        <w:jc w:val="center"/>
        <w:rPr>
          <w:rFonts w:ascii="Times New Roman" w:hAnsi="Times New Roman"/>
          <w:b/>
          <w:sz w:val="24"/>
          <w:szCs w:val="24"/>
        </w:rPr>
      </w:pPr>
    </w:p>
    <w:p w14:paraId="6B97B0D4" w14:textId="77777777" w:rsidR="002B1C4F" w:rsidRDefault="002B1C4F" w:rsidP="002B1C4F">
      <w:pPr>
        <w:spacing w:after="0" w:line="360" w:lineRule="auto"/>
        <w:jc w:val="center"/>
        <w:rPr>
          <w:rFonts w:ascii="Times New Roman" w:hAnsi="Times New Roman"/>
          <w:b/>
          <w:sz w:val="24"/>
          <w:szCs w:val="24"/>
        </w:rPr>
      </w:pPr>
    </w:p>
    <w:p w14:paraId="5272A430" w14:textId="1311B5C2" w:rsidR="00700A29" w:rsidRPr="002B1C4F" w:rsidRDefault="00C07434" w:rsidP="002B1C4F">
      <w:pPr>
        <w:spacing w:after="0" w:line="360" w:lineRule="auto"/>
        <w:jc w:val="center"/>
        <w:rPr>
          <w:rFonts w:ascii="Times New Roman" w:hAnsi="Times New Roman"/>
          <w:b/>
          <w:sz w:val="28"/>
          <w:szCs w:val="24"/>
        </w:rPr>
      </w:pPr>
      <w:r w:rsidRPr="002B1C4F">
        <w:rPr>
          <w:rFonts w:ascii="Times New Roman" w:hAnsi="Times New Roman"/>
          <w:b/>
          <w:sz w:val="28"/>
          <w:szCs w:val="24"/>
        </w:rPr>
        <w:lastRenderedPageBreak/>
        <w:t>Adult Residen</w:t>
      </w:r>
      <w:r w:rsidR="00005F2C" w:rsidRPr="002B1C4F">
        <w:rPr>
          <w:rFonts w:ascii="Times New Roman" w:hAnsi="Times New Roman"/>
          <w:b/>
          <w:sz w:val="28"/>
          <w:szCs w:val="24"/>
        </w:rPr>
        <w:t>t</w:t>
      </w:r>
      <w:r w:rsidRPr="002B1C4F">
        <w:rPr>
          <w:rFonts w:ascii="Times New Roman" w:hAnsi="Times New Roman"/>
          <w:b/>
          <w:sz w:val="28"/>
          <w:szCs w:val="24"/>
        </w:rPr>
        <w:t xml:space="preserve">ial and </w:t>
      </w:r>
      <w:r w:rsidR="00242307" w:rsidRPr="002B1C4F">
        <w:rPr>
          <w:rFonts w:ascii="Times New Roman" w:hAnsi="Times New Roman"/>
          <w:b/>
          <w:sz w:val="28"/>
          <w:szCs w:val="24"/>
        </w:rPr>
        <w:t>Work Release</w:t>
      </w:r>
    </w:p>
    <w:tbl>
      <w:tblPr>
        <w:tblpPr w:leftFromText="180" w:rightFromText="180" w:vertAnchor="text" w:horzAnchor="margin" w:tblpXSpec="center" w:tblpY="679"/>
        <w:tblW w:w="5000" w:type="pct"/>
        <w:tblLook w:val="04A0" w:firstRow="1" w:lastRow="0" w:firstColumn="1" w:lastColumn="0" w:noHBand="0" w:noVBand="1"/>
      </w:tblPr>
      <w:tblGrid>
        <w:gridCol w:w="5494"/>
        <w:gridCol w:w="1325"/>
        <w:gridCol w:w="1325"/>
        <w:gridCol w:w="1323"/>
        <w:gridCol w:w="1323"/>
      </w:tblGrid>
      <w:tr w:rsidR="00FE042C" w:rsidRPr="002B1C4F" w14:paraId="2A94073E" w14:textId="77777777" w:rsidTr="006251ED">
        <w:trPr>
          <w:trHeight w:val="530"/>
        </w:trPr>
        <w:tc>
          <w:tcPr>
            <w:tcW w:w="2546"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48DFED7A" w14:textId="4B98A50D" w:rsidR="00FE042C" w:rsidRPr="002B1C4F" w:rsidRDefault="00FE042C" w:rsidP="006251ED">
            <w:pPr>
              <w:spacing w:after="0" w:line="240" w:lineRule="auto"/>
              <w:jc w:val="center"/>
              <w:rPr>
                <w:rFonts w:ascii="Times New Roman" w:hAnsi="Times New Roman"/>
                <w:b/>
                <w:bCs/>
                <w:sz w:val="28"/>
                <w:szCs w:val="24"/>
              </w:rPr>
            </w:pPr>
            <w:r w:rsidRPr="002B1C4F">
              <w:rPr>
                <w:rFonts w:ascii="Times New Roman" w:hAnsi="Times New Roman"/>
                <w:b/>
                <w:bCs/>
                <w:sz w:val="28"/>
                <w:szCs w:val="24"/>
              </w:rPr>
              <w:t>PREA Allegations of Staff-on-Client</w:t>
            </w:r>
          </w:p>
        </w:tc>
        <w:tc>
          <w:tcPr>
            <w:tcW w:w="614" w:type="pct"/>
            <w:tcBorders>
              <w:top w:val="single" w:sz="4" w:space="0" w:color="auto"/>
              <w:left w:val="single" w:sz="4" w:space="0" w:color="auto"/>
              <w:bottom w:val="single" w:sz="4" w:space="0" w:color="auto"/>
              <w:right w:val="single" w:sz="4" w:space="0" w:color="auto"/>
            </w:tcBorders>
            <w:shd w:val="clear" w:color="auto" w:fill="A6A6A6"/>
            <w:vAlign w:val="center"/>
          </w:tcPr>
          <w:p w14:paraId="51A64E7D" w14:textId="77777777" w:rsidR="00FE042C" w:rsidRPr="002B1C4F" w:rsidRDefault="004A7662" w:rsidP="006251ED">
            <w:pPr>
              <w:spacing w:after="0" w:line="240" w:lineRule="auto"/>
              <w:jc w:val="center"/>
              <w:rPr>
                <w:rFonts w:ascii="Times New Roman" w:hAnsi="Times New Roman"/>
                <w:b/>
                <w:sz w:val="28"/>
                <w:szCs w:val="24"/>
              </w:rPr>
            </w:pPr>
            <w:r w:rsidRPr="002B1C4F">
              <w:rPr>
                <w:rFonts w:ascii="Times New Roman" w:hAnsi="Times New Roman"/>
                <w:b/>
                <w:sz w:val="28"/>
                <w:szCs w:val="24"/>
              </w:rPr>
              <w:t>202</w:t>
            </w:r>
            <w:r w:rsidR="00790647" w:rsidRPr="002B1C4F">
              <w:rPr>
                <w:rFonts w:ascii="Times New Roman" w:hAnsi="Times New Roman"/>
                <w:b/>
                <w:sz w:val="28"/>
                <w:szCs w:val="24"/>
              </w:rPr>
              <w:t>1</w:t>
            </w:r>
          </w:p>
        </w:tc>
        <w:tc>
          <w:tcPr>
            <w:tcW w:w="614" w:type="pct"/>
            <w:tcBorders>
              <w:top w:val="single" w:sz="4" w:space="0" w:color="auto"/>
              <w:left w:val="single" w:sz="4" w:space="0" w:color="auto"/>
              <w:bottom w:val="single" w:sz="4" w:space="0" w:color="auto"/>
              <w:right w:val="single" w:sz="4" w:space="0" w:color="auto"/>
            </w:tcBorders>
            <w:shd w:val="clear" w:color="auto" w:fill="A6A6A6"/>
            <w:vAlign w:val="center"/>
          </w:tcPr>
          <w:p w14:paraId="741E0433" w14:textId="77777777" w:rsidR="00FE042C" w:rsidRPr="002B1C4F" w:rsidRDefault="002961B3" w:rsidP="006251ED">
            <w:pPr>
              <w:spacing w:after="0" w:line="240" w:lineRule="auto"/>
              <w:jc w:val="center"/>
              <w:rPr>
                <w:rFonts w:ascii="Times New Roman" w:hAnsi="Times New Roman"/>
                <w:b/>
                <w:sz w:val="28"/>
                <w:szCs w:val="24"/>
              </w:rPr>
            </w:pPr>
            <w:r w:rsidRPr="002B1C4F">
              <w:rPr>
                <w:rFonts w:ascii="Times New Roman" w:hAnsi="Times New Roman"/>
                <w:b/>
                <w:sz w:val="28"/>
                <w:szCs w:val="24"/>
              </w:rPr>
              <w:t>202</w:t>
            </w:r>
            <w:r w:rsidR="00790647" w:rsidRPr="002B1C4F">
              <w:rPr>
                <w:rFonts w:ascii="Times New Roman" w:hAnsi="Times New Roman"/>
                <w:b/>
                <w:sz w:val="28"/>
                <w:szCs w:val="24"/>
              </w:rPr>
              <w:t>2</w:t>
            </w:r>
          </w:p>
        </w:tc>
        <w:tc>
          <w:tcPr>
            <w:tcW w:w="613" w:type="pct"/>
            <w:tcBorders>
              <w:top w:val="single" w:sz="4" w:space="0" w:color="auto"/>
              <w:left w:val="single" w:sz="4" w:space="0" w:color="auto"/>
              <w:bottom w:val="single" w:sz="4" w:space="0" w:color="auto"/>
              <w:right w:val="single" w:sz="4" w:space="0" w:color="auto"/>
            </w:tcBorders>
            <w:shd w:val="clear" w:color="auto" w:fill="A6A6A6"/>
            <w:vAlign w:val="center"/>
          </w:tcPr>
          <w:p w14:paraId="3E93FCDB" w14:textId="77777777" w:rsidR="00FE042C" w:rsidRPr="002B1C4F" w:rsidRDefault="002961B3" w:rsidP="006251ED">
            <w:pPr>
              <w:spacing w:after="0" w:line="240" w:lineRule="auto"/>
              <w:jc w:val="center"/>
              <w:rPr>
                <w:rFonts w:ascii="Times New Roman" w:hAnsi="Times New Roman"/>
                <w:b/>
                <w:sz w:val="28"/>
                <w:szCs w:val="24"/>
              </w:rPr>
            </w:pPr>
            <w:r w:rsidRPr="002B1C4F">
              <w:rPr>
                <w:rFonts w:ascii="Times New Roman" w:hAnsi="Times New Roman"/>
                <w:b/>
                <w:sz w:val="28"/>
                <w:szCs w:val="24"/>
              </w:rPr>
              <w:t>202</w:t>
            </w:r>
            <w:r w:rsidR="00790647" w:rsidRPr="002B1C4F">
              <w:rPr>
                <w:rFonts w:ascii="Times New Roman" w:hAnsi="Times New Roman"/>
                <w:b/>
                <w:sz w:val="28"/>
                <w:szCs w:val="24"/>
              </w:rPr>
              <w:t>3</w:t>
            </w:r>
          </w:p>
        </w:tc>
        <w:tc>
          <w:tcPr>
            <w:tcW w:w="613" w:type="pct"/>
            <w:tcBorders>
              <w:top w:val="single" w:sz="4" w:space="0" w:color="auto"/>
              <w:left w:val="single" w:sz="4" w:space="0" w:color="auto"/>
              <w:bottom w:val="single" w:sz="4" w:space="0" w:color="auto"/>
              <w:right w:val="single" w:sz="4" w:space="0" w:color="auto"/>
            </w:tcBorders>
            <w:shd w:val="clear" w:color="auto" w:fill="A6A6A6"/>
            <w:vAlign w:val="center"/>
          </w:tcPr>
          <w:p w14:paraId="4E583FCA" w14:textId="77777777" w:rsidR="00FE042C" w:rsidRPr="002B1C4F" w:rsidRDefault="002961B3" w:rsidP="006251ED">
            <w:pPr>
              <w:spacing w:after="0" w:line="240" w:lineRule="auto"/>
              <w:jc w:val="center"/>
              <w:rPr>
                <w:rFonts w:ascii="Times New Roman" w:hAnsi="Times New Roman"/>
                <w:b/>
                <w:sz w:val="28"/>
                <w:szCs w:val="24"/>
                <w:highlight w:val="yellow"/>
              </w:rPr>
            </w:pPr>
            <w:r w:rsidRPr="002B1C4F">
              <w:rPr>
                <w:rFonts w:ascii="Times New Roman" w:hAnsi="Times New Roman"/>
                <w:b/>
                <w:sz w:val="28"/>
                <w:szCs w:val="24"/>
              </w:rPr>
              <w:t>202</w:t>
            </w:r>
            <w:r w:rsidR="00790647" w:rsidRPr="002B1C4F">
              <w:rPr>
                <w:rFonts w:ascii="Times New Roman" w:hAnsi="Times New Roman"/>
                <w:b/>
                <w:sz w:val="28"/>
                <w:szCs w:val="24"/>
              </w:rPr>
              <w:t>4</w:t>
            </w:r>
          </w:p>
        </w:tc>
      </w:tr>
      <w:tr w:rsidR="00790647" w:rsidRPr="00392248" w14:paraId="6020DA29" w14:textId="77777777" w:rsidTr="006251ED">
        <w:trPr>
          <w:trHeight w:val="300"/>
        </w:trPr>
        <w:tc>
          <w:tcPr>
            <w:tcW w:w="2546" w:type="pct"/>
            <w:tcBorders>
              <w:top w:val="nil"/>
              <w:left w:val="single" w:sz="4" w:space="0" w:color="auto"/>
              <w:bottom w:val="single" w:sz="4" w:space="0" w:color="auto"/>
              <w:right w:val="single" w:sz="4" w:space="0" w:color="auto"/>
            </w:tcBorders>
            <w:shd w:val="clear" w:color="auto" w:fill="auto"/>
            <w:noWrap/>
            <w:vAlign w:val="bottom"/>
          </w:tcPr>
          <w:p w14:paraId="0BE6ADB8" w14:textId="77777777" w:rsidR="00790647" w:rsidRPr="002B1C4F" w:rsidRDefault="00790647" w:rsidP="002B1C4F">
            <w:pPr>
              <w:spacing w:after="0" w:line="240" w:lineRule="auto"/>
              <w:jc w:val="both"/>
              <w:rPr>
                <w:rFonts w:ascii="Times New Roman" w:hAnsi="Times New Roman"/>
                <w:b/>
                <w:sz w:val="24"/>
                <w:szCs w:val="24"/>
              </w:rPr>
            </w:pPr>
            <w:r w:rsidRPr="002B1C4F">
              <w:rPr>
                <w:rFonts w:ascii="Times New Roman" w:hAnsi="Times New Roman"/>
                <w:b/>
                <w:sz w:val="24"/>
                <w:szCs w:val="24"/>
              </w:rPr>
              <w:t>Substantiated</w:t>
            </w:r>
          </w:p>
        </w:tc>
        <w:tc>
          <w:tcPr>
            <w:tcW w:w="614" w:type="pct"/>
            <w:tcBorders>
              <w:top w:val="nil"/>
              <w:left w:val="single" w:sz="4" w:space="0" w:color="auto"/>
              <w:bottom w:val="single" w:sz="4" w:space="0" w:color="auto"/>
              <w:right w:val="single" w:sz="4" w:space="0" w:color="auto"/>
            </w:tcBorders>
            <w:vAlign w:val="center"/>
          </w:tcPr>
          <w:p w14:paraId="2BA3174E" w14:textId="77777777" w:rsidR="00790647" w:rsidRPr="002B1C4F" w:rsidRDefault="00790647"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4" w:type="pct"/>
            <w:tcBorders>
              <w:top w:val="nil"/>
              <w:left w:val="single" w:sz="4" w:space="0" w:color="auto"/>
              <w:bottom w:val="single" w:sz="4" w:space="0" w:color="auto"/>
              <w:right w:val="single" w:sz="4" w:space="0" w:color="auto"/>
            </w:tcBorders>
            <w:vAlign w:val="center"/>
          </w:tcPr>
          <w:p w14:paraId="2AC1CC4D" w14:textId="77777777" w:rsidR="00790647" w:rsidRPr="002B1C4F" w:rsidRDefault="00790647"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67C76BF4" w14:textId="77777777" w:rsidR="00790647" w:rsidRPr="002B1C4F" w:rsidRDefault="00790647"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68856281" w14:textId="77777777" w:rsidR="00790647" w:rsidRPr="002B1C4F" w:rsidRDefault="00790647"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r>
      <w:tr w:rsidR="00790647" w:rsidRPr="00392248" w14:paraId="6D7FC5CF" w14:textId="77777777" w:rsidTr="006251ED">
        <w:trPr>
          <w:trHeight w:val="300"/>
        </w:trPr>
        <w:tc>
          <w:tcPr>
            <w:tcW w:w="2546" w:type="pct"/>
            <w:tcBorders>
              <w:top w:val="nil"/>
              <w:left w:val="single" w:sz="4" w:space="0" w:color="auto"/>
              <w:bottom w:val="single" w:sz="4" w:space="0" w:color="auto"/>
              <w:right w:val="single" w:sz="4" w:space="0" w:color="auto"/>
            </w:tcBorders>
            <w:shd w:val="clear" w:color="auto" w:fill="auto"/>
            <w:noWrap/>
            <w:vAlign w:val="bottom"/>
          </w:tcPr>
          <w:p w14:paraId="675E34ED" w14:textId="77777777" w:rsidR="00790647" w:rsidRPr="002B1C4F" w:rsidRDefault="00790647" w:rsidP="002B1C4F">
            <w:pPr>
              <w:spacing w:after="0" w:line="240" w:lineRule="auto"/>
              <w:jc w:val="both"/>
              <w:rPr>
                <w:rFonts w:ascii="Times New Roman" w:hAnsi="Times New Roman"/>
                <w:b/>
                <w:sz w:val="24"/>
                <w:szCs w:val="24"/>
              </w:rPr>
            </w:pPr>
            <w:r w:rsidRPr="002B1C4F">
              <w:rPr>
                <w:rFonts w:ascii="Times New Roman" w:hAnsi="Times New Roman"/>
                <w:b/>
                <w:sz w:val="24"/>
                <w:szCs w:val="24"/>
              </w:rPr>
              <w:t>Unsubstantiated</w:t>
            </w:r>
          </w:p>
        </w:tc>
        <w:tc>
          <w:tcPr>
            <w:tcW w:w="614" w:type="pct"/>
            <w:tcBorders>
              <w:top w:val="nil"/>
              <w:left w:val="single" w:sz="4" w:space="0" w:color="auto"/>
              <w:bottom w:val="single" w:sz="4" w:space="0" w:color="auto"/>
              <w:right w:val="single" w:sz="4" w:space="0" w:color="auto"/>
            </w:tcBorders>
            <w:vAlign w:val="center"/>
          </w:tcPr>
          <w:p w14:paraId="242166BA" w14:textId="77777777" w:rsidR="00790647" w:rsidRPr="002B1C4F" w:rsidRDefault="00790647"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2</w:t>
            </w:r>
          </w:p>
        </w:tc>
        <w:tc>
          <w:tcPr>
            <w:tcW w:w="614" w:type="pct"/>
            <w:tcBorders>
              <w:top w:val="nil"/>
              <w:left w:val="single" w:sz="4" w:space="0" w:color="auto"/>
              <w:bottom w:val="single" w:sz="4" w:space="0" w:color="auto"/>
              <w:right w:val="single" w:sz="4" w:space="0" w:color="auto"/>
            </w:tcBorders>
            <w:vAlign w:val="center"/>
          </w:tcPr>
          <w:p w14:paraId="306EC65D" w14:textId="77777777" w:rsidR="00790647" w:rsidRPr="002B1C4F" w:rsidRDefault="00790647"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24BC9AA1" w14:textId="77777777" w:rsidR="00790647" w:rsidRPr="002B1C4F" w:rsidRDefault="00790647"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1</w:t>
            </w:r>
          </w:p>
        </w:tc>
        <w:tc>
          <w:tcPr>
            <w:tcW w:w="613" w:type="pct"/>
            <w:tcBorders>
              <w:top w:val="nil"/>
              <w:left w:val="single" w:sz="4" w:space="0" w:color="auto"/>
              <w:bottom w:val="single" w:sz="4" w:space="0" w:color="auto"/>
              <w:right w:val="single" w:sz="4" w:space="0" w:color="auto"/>
            </w:tcBorders>
            <w:vAlign w:val="center"/>
          </w:tcPr>
          <w:p w14:paraId="7284D8D8" w14:textId="77777777" w:rsidR="00790647" w:rsidRPr="002B1C4F" w:rsidRDefault="00E21757"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r>
      <w:tr w:rsidR="00790647" w:rsidRPr="00392248" w14:paraId="3D473979" w14:textId="77777777" w:rsidTr="006251ED">
        <w:trPr>
          <w:trHeight w:val="300"/>
        </w:trPr>
        <w:tc>
          <w:tcPr>
            <w:tcW w:w="2546" w:type="pct"/>
            <w:tcBorders>
              <w:top w:val="nil"/>
              <w:left w:val="single" w:sz="4" w:space="0" w:color="auto"/>
              <w:bottom w:val="single" w:sz="4" w:space="0" w:color="auto"/>
              <w:right w:val="single" w:sz="4" w:space="0" w:color="auto"/>
            </w:tcBorders>
            <w:shd w:val="clear" w:color="auto" w:fill="auto"/>
            <w:noWrap/>
            <w:vAlign w:val="bottom"/>
          </w:tcPr>
          <w:p w14:paraId="59D49367" w14:textId="77777777" w:rsidR="00790647" w:rsidRPr="002B1C4F" w:rsidRDefault="00790647" w:rsidP="002B1C4F">
            <w:pPr>
              <w:spacing w:after="0" w:line="240" w:lineRule="auto"/>
              <w:jc w:val="both"/>
              <w:rPr>
                <w:rFonts w:ascii="Times New Roman" w:hAnsi="Times New Roman"/>
                <w:b/>
                <w:sz w:val="24"/>
                <w:szCs w:val="24"/>
              </w:rPr>
            </w:pPr>
            <w:r w:rsidRPr="002B1C4F">
              <w:rPr>
                <w:rFonts w:ascii="Times New Roman" w:hAnsi="Times New Roman"/>
                <w:b/>
                <w:sz w:val="24"/>
                <w:szCs w:val="24"/>
              </w:rPr>
              <w:t>Unfounded</w:t>
            </w:r>
          </w:p>
        </w:tc>
        <w:tc>
          <w:tcPr>
            <w:tcW w:w="614" w:type="pct"/>
            <w:tcBorders>
              <w:top w:val="nil"/>
              <w:left w:val="single" w:sz="4" w:space="0" w:color="auto"/>
              <w:bottom w:val="single" w:sz="4" w:space="0" w:color="auto"/>
              <w:right w:val="single" w:sz="4" w:space="0" w:color="auto"/>
            </w:tcBorders>
            <w:vAlign w:val="center"/>
          </w:tcPr>
          <w:p w14:paraId="4B27C456" w14:textId="77777777" w:rsidR="00790647" w:rsidRPr="002B1C4F" w:rsidRDefault="00790647"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4" w:type="pct"/>
            <w:tcBorders>
              <w:top w:val="nil"/>
              <w:left w:val="single" w:sz="4" w:space="0" w:color="auto"/>
              <w:bottom w:val="single" w:sz="4" w:space="0" w:color="auto"/>
              <w:right w:val="single" w:sz="4" w:space="0" w:color="auto"/>
            </w:tcBorders>
            <w:vAlign w:val="center"/>
          </w:tcPr>
          <w:p w14:paraId="4FA402FD" w14:textId="77777777" w:rsidR="00790647" w:rsidRPr="002B1C4F" w:rsidRDefault="00790647"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62138564" w14:textId="77777777" w:rsidR="00790647" w:rsidRPr="002B1C4F" w:rsidRDefault="00790647"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21F1333C" w14:textId="77777777" w:rsidR="00790647" w:rsidRPr="002B1C4F" w:rsidRDefault="00E21757"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r>
      <w:tr w:rsidR="00790647" w:rsidRPr="00392248" w14:paraId="3E76B9D5" w14:textId="77777777" w:rsidTr="006251ED">
        <w:trPr>
          <w:trHeight w:val="300"/>
        </w:trPr>
        <w:tc>
          <w:tcPr>
            <w:tcW w:w="2546" w:type="pct"/>
            <w:tcBorders>
              <w:top w:val="nil"/>
              <w:left w:val="single" w:sz="4" w:space="0" w:color="auto"/>
              <w:bottom w:val="single" w:sz="4" w:space="0" w:color="auto"/>
              <w:right w:val="single" w:sz="4" w:space="0" w:color="auto"/>
            </w:tcBorders>
            <w:shd w:val="clear" w:color="auto" w:fill="auto"/>
            <w:noWrap/>
            <w:vAlign w:val="bottom"/>
          </w:tcPr>
          <w:p w14:paraId="7074A508" w14:textId="77777777" w:rsidR="00790647" w:rsidRPr="002B1C4F" w:rsidRDefault="00790647" w:rsidP="002B1C4F">
            <w:pPr>
              <w:spacing w:after="0" w:line="240" w:lineRule="auto"/>
              <w:jc w:val="both"/>
              <w:rPr>
                <w:rFonts w:ascii="Times New Roman" w:hAnsi="Times New Roman"/>
                <w:b/>
                <w:sz w:val="24"/>
                <w:szCs w:val="24"/>
              </w:rPr>
            </w:pPr>
            <w:r w:rsidRPr="002B1C4F">
              <w:rPr>
                <w:rFonts w:ascii="Times New Roman" w:hAnsi="Times New Roman"/>
                <w:b/>
                <w:sz w:val="24"/>
                <w:szCs w:val="24"/>
              </w:rPr>
              <w:t>Investigation Ongoing</w:t>
            </w:r>
          </w:p>
        </w:tc>
        <w:tc>
          <w:tcPr>
            <w:tcW w:w="614" w:type="pct"/>
            <w:tcBorders>
              <w:top w:val="nil"/>
              <w:left w:val="single" w:sz="4" w:space="0" w:color="auto"/>
              <w:bottom w:val="single" w:sz="4" w:space="0" w:color="auto"/>
              <w:right w:val="single" w:sz="4" w:space="0" w:color="auto"/>
            </w:tcBorders>
            <w:vAlign w:val="center"/>
          </w:tcPr>
          <w:p w14:paraId="45EC0816" w14:textId="77777777" w:rsidR="00790647" w:rsidRPr="002B1C4F" w:rsidRDefault="00790647"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4" w:type="pct"/>
            <w:tcBorders>
              <w:top w:val="nil"/>
              <w:left w:val="single" w:sz="4" w:space="0" w:color="auto"/>
              <w:bottom w:val="single" w:sz="4" w:space="0" w:color="auto"/>
              <w:right w:val="single" w:sz="4" w:space="0" w:color="auto"/>
            </w:tcBorders>
            <w:vAlign w:val="center"/>
          </w:tcPr>
          <w:p w14:paraId="0AFF084A" w14:textId="77777777" w:rsidR="00790647" w:rsidRPr="002B1C4F" w:rsidRDefault="00790647"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74EDBF9E" w14:textId="77777777" w:rsidR="00790647" w:rsidRPr="002B1C4F" w:rsidRDefault="00790647"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5FDD0E34" w14:textId="77777777" w:rsidR="00790647" w:rsidRPr="002B1C4F" w:rsidRDefault="00E21757"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1</w:t>
            </w:r>
          </w:p>
        </w:tc>
      </w:tr>
      <w:tr w:rsidR="00790647" w:rsidRPr="00392248" w14:paraId="029D82DC" w14:textId="77777777" w:rsidTr="006251ED">
        <w:trPr>
          <w:trHeight w:val="300"/>
        </w:trPr>
        <w:tc>
          <w:tcPr>
            <w:tcW w:w="2546" w:type="pct"/>
            <w:tcBorders>
              <w:top w:val="nil"/>
              <w:left w:val="single" w:sz="4" w:space="0" w:color="auto"/>
              <w:bottom w:val="single" w:sz="4" w:space="0" w:color="auto"/>
              <w:right w:val="single" w:sz="4" w:space="0" w:color="auto"/>
            </w:tcBorders>
            <w:shd w:val="clear" w:color="auto" w:fill="auto"/>
            <w:noWrap/>
            <w:vAlign w:val="bottom"/>
          </w:tcPr>
          <w:p w14:paraId="6BC3EB28" w14:textId="77777777" w:rsidR="00790647" w:rsidRPr="002B1C4F" w:rsidRDefault="00790647" w:rsidP="002B1C4F">
            <w:pPr>
              <w:spacing w:after="0" w:line="240" w:lineRule="auto"/>
              <w:jc w:val="both"/>
              <w:rPr>
                <w:rFonts w:ascii="Times New Roman" w:hAnsi="Times New Roman"/>
                <w:b/>
                <w:sz w:val="24"/>
                <w:szCs w:val="24"/>
              </w:rPr>
            </w:pPr>
            <w:r w:rsidRPr="002B1C4F">
              <w:rPr>
                <w:rFonts w:ascii="Times New Roman" w:hAnsi="Times New Roman"/>
                <w:b/>
                <w:sz w:val="24"/>
                <w:szCs w:val="24"/>
              </w:rPr>
              <w:t>Total</w:t>
            </w:r>
          </w:p>
        </w:tc>
        <w:tc>
          <w:tcPr>
            <w:tcW w:w="614" w:type="pct"/>
            <w:tcBorders>
              <w:top w:val="nil"/>
              <w:left w:val="single" w:sz="4" w:space="0" w:color="auto"/>
              <w:bottom w:val="single" w:sz="4" w:space="0" w:color="auto"/>
              <w:right w:val="single" w:sz="4" w:space="0" w:color="auto"/>
            </w:tcBorders>
            <w:vAlign w:val="center"/>
          </w:tcPr>
          <w:p w14:paraId="56214202" w14:textId="77777777" w:rsidR="00790647" w:rsidRPr="002B1C4F" w:rsidRDefault="00790647"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2</w:t>
            </w:r>
          </w:p>
        </w:tc>
        <w:tc>
          <w:tcPr>
            <w:tcW w:w="614" w:type="pct"/>
            <w:tcBorders>
              <w:top w:val="nil"/>
              <w:left w:val="single" w:sz="4" w:space="0" w:color="auto"/>
              <w:bottom w:val="single" w:sz="4" w:space="0" w:color="auto"/>
              <w:right w:val="single" w:sz="4" w:space="0" w:color="auto"/>
            </w:tcBorders>
            <w:vAlign w:val="center"/>
          </w:tcPr>
          <w:p w14:paraId="54EE36E5" w14:textId="77777777" w:rsidR="00790647" w:rsidRPr="002B1C4F" w:rsidRDefault="00790647"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51BCC5CF" w14:textId="77777777" w:rsidR="00790647" w:rsidRPr="002B1C4F" w:rsidRDefault="00790647"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1</w:t>
            </w:r>
          </w:p>
        </w:tc>
        <w:tc>
          <w:tcPr>
            <w:tcW w:w="613" w:type="pct"/>
            <w:tcBorders>
              <w:top w:val="nil"/>
              <w:left w:val="single" w:sz="4" w:space="0" w:color="auto"/>
              <w:bottom w:val="single" w:sz="4" w:space="0" w:color="auto"/>
              <w:right w:val="single" w:sz="4" w:space="0" w:color="auto"/>
            </w:tcBorders>
            <w:vAlign w:val="center"/>
          </w:tcPr>
          <w:p w14:paraId="51FD6F23" w14:textId="77777777" w:rsidR="00790647" w:rsidRPr="002B1C4F" w:rsidRDefault="00E21757"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1</w:t>
            </w:r>
          </w:p>
        </w:tc>
      </w:tr>
    </w:tbl>
    <w:p w14:paraId="6FB1F009" w14:textId="77777777" w:rsidR="00446FC3" w:rsidRPr="00392248" w:rsidRDefault="00446FC3" w:rsidP="00392248">
      <w:pPr>
        <w:spacing w:line="360" w:lineRule="auto"/>
        <w:rPr>
          <w:rFonts w:ascii="Garamond" w:hAnsi="Garamond"/>
          <w:sz w:val="16"/>
          <w:szCs w:val="25"/>
          <w:highlight w:val="yellow"/>
        </w:rPr>
      </w:pPr>
    </w:p>
    <w:p w14:paraId="1852795E" w14:textId="77777777" w:rsidR="00392248" w:rsidRPr="00392248" w:rsidRDefault="00392248" w:rsidP="00392248">
      <w:pPr>
        <w:spacing w:after="0" w:line="360" w:lineRule="auto"/>
        <w:jc w:val="center"/>
        <w:rPr>
          <w:rFonts w:ascii="Garamond" w:hAnsi="Garamond"/>
          <w:sz w:val="25"/>
          <w:szCs w:val="25"/>
          <w:highlight w:val="yellow"/>
        </w:rPr>
      </w:pPr>
    </w:p>
    <w:tbl>
      <w:tblPr>
        <w:tblpPr w:leftFromText="180" w:rightFromText="180" w:vertAnchor="text" w:horzAnchor="margin" w:tblpXSpec="center" w:tblpY="179"/>
        <w:tblW w:w="5000" w:type="pct"/>
        <w:tblLook w:val="04A0" w:firstRow="1" w:lastRow="0" w:firstColumn="1" w:lastColumn="0" w:noHBand="0" w:noVBand="1"/>
      </w:tblPr>
      <w:tblGrid>
        <w:gridCol w:w="5498"/>
        <w:gridCol w:w="1325"/>
        <w:gridCol w:w="1325"/>
        <w:gridCol w:w="1321"/>
        <w:gridCol w:w="1321"/>
      </w:tblGrid>
      <w:tr w:rsidR="008B689D" w:rsidRPr="00392248" w14:paraId="300CE30A" w14:textId="77777777" w:rsidTr="006251ED">
        <w:trPr>
          <w:trHeight w:val="440"/>
        </w:trPr>
        <w:tc>
          <w:tcPr>
            <w:tcW w:w="2548"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2F06CB83" w14:textId="77777777" w:rsidR="008B689D" w:rsidRPr="002B1C4F" w:rsidRDefault="008B689D" w:rsidP="006251ED">
            <w:pPr>
              <w:spacing w:after="0" w:line="240" w:lineRule="auto"/>
              <w:jc w:val="center"/>
              <w:rPr>
                <w:rFonts w:ascii="Times New Roman" w:hAnsi="Times New Roman"/>
                <w:b/>
                <w:bCs/>
                <w:sz w:val="28"/>
                <w:szCs w:val="24"/>
              </w:rPr>
            </w:pPr>
            <w:r w:rsidRPr="002B1C4F">
              <w:rPr>
                <w:rFonts w:ascii="Times New Roman" w:hAnsi="Times New Roman"/>
                <w:b/>
                <w:bCs/>
                <w:sz w:val="28"/>
                <w:szCs w:val="24"/>
              </w:rPr>
              <w:t>PREA Allegations of Client-on-Client</w:t>
            </w:r>
          </w:p>
        </w:tc>
        <w:tc>
          <w:tcPr>
            <w:tcW w:w="614" w:type="pct"/>
            <w:tcBorders>
              <w:top w:val="single" w:sz="4" w:space="0" w:color="auto"/>
              <w:left w:val="single" w:sz="4" w:space="0" w:color="auto"/>
              <w:bottom w:val="single" w:sz="4" w:space="0" w:color="auto"/>
              <w:right w:val="single" w:sz="4" w:space="0" w:color="auto"/>
            </w:tcBorders>
            <w:shd w:val="clear" w:color="auto" w:fill="A6A6A6"/>
            <w:vAlign w:val="center"/>
          </w:tcPr>
          <w:p w14:paraId="32BA3B8E" w14:textId="77777777" w:rsidR="008B689D" w:rsidRPr="002B1C4F" w:rsidRDefault="008B689D" w:rsidP="006251ED">
            <w:pPr>
              <w:spacing w:after="0" w:line="240" w:lineRule="auto"/>
              <w:jc w:val="center"/>
              <w:rPr>
                <w:rFonts w:ascii="Times New Roman" w:hAnsi="Times New Roman"/>
                <w:b/>
                <w:sz w:val="28"/>
                <w:szCs w:val="24"/>
              </w:rPr>
            </w:pPr>
            <w:r w:rsidRPr="002B1C4F">
              <w:rPr>
                <w:rFonts w:ascii="Times New Roman" w:hAnsi="Times New Roman"/>
                <w:b/>
                <w:sz w:val="28"/>
                <w:szCs w:val="24"/>
              </w:rPr>
              <w:t>2021</w:t>
            </w:r>
          </w:p>
        </w:tc>
        <w:tc>
          <w:tcPr>
            <w:tcW w:w="614" w:type="pct"/>
            <w:tcBorders>
              <w:top w:val="single" w:sz="4" w:space="0" w:color="auto"/>
              <w:left w:val="single" w:sz="4" w:space="0" w:color="auto"/>
              <w:bottom w:val="single" w:sz="4" w:space="0" w:color="auto"/>
              <w:right w:val="single" w:sz="4" w:space="0" w:color="auto"/>
            </w:tcBorders>
            <w:shd w:val="clear" w:color="auto" w:fill="A6A6A6"/>
            <w:vAlign w:val="center"/>
          </w:tcPr>
          <w:p w14:paraId="2D8B7DB2" w14:textId="77777777" w:rsidR="008B689D" w:rsidRPr="002B1C4F" w:rsidRDefault="008B689D" w:rsidP="006251ED">
            <w:pPr>
              <w:spacing w:after="0" w:line="240" w:lineRule="auto"/>
              <w:jc w:val="center"/>
              <w:rPr>
                <w:rFonts w:ascii="Times New Roman" w:hAnsi="Times New Roman"/>
                <w:b/>
                <w:sz w:val="28"/>
                <w:szCs w:val="24"/>
              </w:rPr>
            </w:pPr>
            <w:r w:rsidRPr="002B1C4F">
              <w:rPr>
                <w:rFonts w:ascii="Times New Roman" w:hAnsi="Times New Roman"/>
                <w:b/>
                <w:sz w:val="28"/>
                <w:szCs w:val="24"/>
              </w:rPr>
              <w:t>2022</w:t>
            </w:r>
          </w:p>
        </w:tc>
        <w:tc>
          <w:tcPr>
            <w:tcW w:w="612" w:type="pct"/>
            <w:tcBorders>
              <w:top w:val="single" w:sz="4" w:space="0" w:color="auto"/>
              <w:left w:val="single" w:sz="4" w:space="0" w:color="auto"/>
              <w:bottom w:val="single" w:sz="4" w:space="0" w:color="auto"/>
              <w:right w:val="single" w:sz="4" w:space="0" w:color="auto"/>
            </w:tcBorders>
            <w:shd w:val="clear" w:color="auto" w:fill="A6A6A6"/>
            <w:vAlign w:val="center"/>
          </w:tcPr>
          <w:p w14:paraId="5B61D79A" w14:textId="77777777" w:rsidR="008B689D" w:rsidRPr="002B1C4F" w:rsidRDefault="008B689D" w:rsidP="006251ED">
            <w:pPr>
              <w:spacing w:after="0" w:line="240" w:lineRule="auto"/>
              <w:jc w:val="center"/>
              <w:rPr>
                <w:rFonts w:ascii="Times New Roman" w:hAnsi="Times New Roman"/>
                <w:b/>
                <w:sz w:val="28"/>
                <w:szCs w:val="24"/>
              </w:rPr>
            </w:pPr>
            <w:r w:rsidRPr="002B1C4F">
              <w:rPr>
                <w:rFonts w:ascii="Times New Roman" w:hAnsi="Times New Roman"/>
                <w:b/>
                <w:sz w:val="28"/>
                <w:szCs w:val="24"/>
              </w:rPr>
              <w:t>2023</w:t>
            </w:r>
          </w:p>
        </w:tc>
        <w:tc>
          <w:tcPr>
            <w:tcW w:w="612" w:type="pct"/>
            <w:tcBorders>
              <w:top w:val="single" w:sz="4" w:space="0" w:color="auto"/>
              <w:left w:val="single" w:sz="4" w:space="0" w:color="auto"/>
              <w:bottom w:val="single" w:sz="4" w:space="0" w:color="auto"/>
              <w:right w:val="single" w:sz="4" w:space="0" w:color="auto"/>
            </w:tcBorders>
            <w:shd w:val="clear" w:color="auto" w:fill="A6A6A6"/>
            <w:vAlign w:val="center"/>
          </w:tcPr>
          <w:p w14:paraId="539902CA" w14:textId="77777777" w:rsidR="008B689D" w:rsidRPr="002B1C4F" w:rsidRDefault="008B689D" w:rsidP="006251ED">
            <w:pPr>
              <w:spacing w:after="0" w:line="240" w:lineRule="auto"/>
              <w:jc w:val="center"/>
              <w:rPr>
                <w:rFonts w:ascii="Times New Roman" w:hAnsi="Times New Roman"/>
                <w:b/>
                <w:sz w:val="28"/>
                <w:szCs w:val="24"/>
                <w:highlight w:val="yellow"/>
              </w:rPr>
            </w:pPr>
            <w:r w:rsidRPr="002B1C4F">
              <w:rPr>
                <w:rFonts w:ascii="Times New Roman" w:hAnsi="Times New Roman"/>
                <w:b/>
                <w:sz w:val="28"/>
                <w:szCs w:val="24"/>
              </w:rPr>
              <w:t>2024</w:t>
            </w:r>
          </w:p>
        </w:tc>
      </w:tr>
      <w:tr w:rsidR="008B689D" w:rsidRPr="00392248" w14:paraId="0FCDE30D" w14:textId="77777777" w:rsidTr="006251ED">
        <w:trPr>
          <w:trHeight w:val="347"/>
        </w:trPr>
        <w:tc>
          <w:tcPr>
            <w:tcW w:w="2548" w:type="pct"/>
            <w:tcBorders>
              <w:top w:val="nil"/>
              <w:left w:val="single" w:sz="4" w:space="0" w:color="auto"/>
              <w:bottom w:val="single" w:sz="4" w:space="0" w:color="auto"/>
              <w:right w:val="single" w:sz="4" w:space="0" w:color="auto"/>
            </w:tcBorders>
            <w:shd w:val="clear" w:color="auto" w:fill="auto"/>
            <w:noWrap/>
            <w:vAlign w:val="bottom"/>
          </w:tcPr>
          <w:p w14:paraId="796EC06F" w14:textId="77777777" w:rsidR="008B689D" w:rsidRPr="002B1C4F" w:rsidRDefault="008B689D" w:rsidP="002B1C4F">
            <w:pPr>
              <w:spacing w:after="0" w:line="240" w:lineRule="auto"/>
              <w:jc w:val="both"/>
              <w:rPr>
                <w:rFonts w:ascii="Times New Roman" w:hAnsi="Times New Roman"/>
                <w:b/>
                <w:sz w:val="24"/>
                <w:szCs w:val="24"/>
              </w:rPr>
            </w:pPr>
            <w:r w:rsidRPr="002B1C4F">
              <w:rPr>
                <w:rFonts w:ascii="Times New Roman" w:hAnsi="Times New Roman"/>
                <w:b/>
                <w:sz w:val="24"/>
                <w:szCs w:val="24"/>
              </w:rPr>
              <w:t>Substantiated</w:t>
            </w:r>
          </w:p>
        </w:tc>
        <w:tc>
          <w:tcPr>
            <w:tcW w:w="614" w:type="pct"/>
            <w:tcBorders>
              <w:top w:val="nil"/>
              <w:left w:val="single" w:sz="4" w:space="0" w:color="auto"/>
              <w:bottom w:val="single" w:sz="4" w:space="0" w:color="auto"/>
              <w:right w:val="single" w:sz="4" w:space="0" w:color="auto"/>
            </w:tcBorders>
            <w:vAlign w:val="center"/>
          </w:tcPr>
          <w:p w14:paraId="28D95F4E" w14:textId="77777777" w:rsidR="008B689D" w:rsidRPr="002B1C4F" w:rsidRDefault="008B689D"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4" w:type="pct"/>
            <w:tcBorders>
              <w:top w:val="nil"/>
              <w:left w:val="single" w:sz="4" w:space="0" w:color="auto"/>
              <w:bottom w:val="single" w:sz="4" w:space="0" w:color="auto"/>
              <w:right w:val="single" w:sz="4" w:space="0" w:color="auto"/>
            </w:tcBorders>
            <w:vAlign w:val="center"/>
          </w:tcPr>
          <w:p w14:paraId="362A0C47" w14:textId="77777777" w:rsidR="008B689D" w:rsidRPr="002B1C4F" w:rsidRDefault="008B689D"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2" w:type="pct"/>
            <w:tcBorders>
              <w:top w:val="nil"/>
              <w:left w:val="single" w:sz="4" w:space="0" w:color="auto"/>
              <w:bottom w:val="single" w:sz="4" w:space="0" w:color="auto"/>
              <w:right w:val="single" w:sz="4" w:space="0" w:color="auto"/>
            </w:tcBorders>
            <w:vAlign w:val="center"/>
          </w:tcPr>
          <w:p w14:paraId="0625CA93" w14:textId="77777777" w:rsidR="008B689D" w:rsidRPr="002B1C4F" w:rsidRDefault="008B689D"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2" w:type="pct"/>
            <w:tcBorders>
              <w:top w:val="nil"/>
              <w:left w:val="single" w:sz="4" w:space="0" w:color="auto"/>
              <w:bottom w:val="single" w:sz="4" w:space="0" w:color="auto"/>
              <w:right w:val="single" w:sz="4" w:space="0" w:color="auto"/>
            </w:tcBorders>
            <w:vAlign w:val="center"/>
          </w:tcPr>
          <w:p w14:paraId="72D92784" w14:textId="77777777" w:rsidR="008B689D" w:rsidRPr="002B1C4F" w:rsidRDefault="008B689D"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r>
      <w:tr w:rsidR="008B689D" w:rsidRPr="00392248" w14:paraId="61DAE5F1" w14:textId="77777777" w:rsidTr="006251ED">
        <w:trPr>
          <w:trHeight w:val="300"/>
        </w:trPr>
        <w:tc>
          <w:tcPr>
            <w:tcW w:w="2548" w:type="pct"/>
            <w:tcBorders>
              <w:top w:val="nil"/>
              <w:left w:val="single" w:sz="4" w:space="0" w:color="auto"/>
              <w:bottom w:val="single" w:sz="4" w:space="0" w:color="auto"/>
              <w:right w:val="single" w:sz="4" w:space="0" w:color="auto"/>
            </w:tcBorders>
            <w:shd w:val="clear" w:color="auto" w:fill="auto"/>
            <w:noWrap/>
            <w:vAlign w:val="bottom"/>
          </w:tcPr>
          <w:p w14:paraId="688C1302" w14:textId="77777777" w:rsidR="008B689D" w:rsidRPr="002B1C4F" w:rsidRDefault="008B689D" w:rsidP="002B1C4F">
            <w:pPr>
              <w:spacing w:after="0" w:line="240" w:lineRule="auto"/>
              <w:jc w:val="both"/>
              <w:rPr>
                <w:rFonts w:ascii="Times New Roman" w:hAnsi="Times New Roman"/>
                <w:b/>
                <w:sz w:val="24"/>
                <w:szCs w:val="24"/>
              </w:rPr>
            </w:pPr>
            <w:r w:rsidRPr="002B1C4F">
              <w:rPr>
                <w:rFonts w:ascii="Times New Roman" w:hAnsi="Times New Roman"/>
                <w:b/>
                <w:sz w:val="24"/>
                <w:szCs w:val="24"/>
              </w:rPr>
              <w:t>Unsubstantiated</w:t>
            </w:r>
          </w:p>
        </w:tc>
        <w:tc>
          <w:tcPr>
            <w:tcW w:w="614" w:type="pct"/>
            <w:tcBorders>
              <w:top w:val="nil"/>
              <w:left w:val="single" w:sz="4" w:space="0" w:color="auto"/>
              <w:bottom w:val="single" w:sz="4" w:space="0" w:color="auto"/>
              <w:right w:val="single" w:sz="4" w:space="0" w:color="auto"/>
            </w:tcBorders>
            <w:vAlign w:val="center"/>
          </w:tcPr>
          <w:p w14:paraId="60C210C9" w14:textId="77777777" w:rsidR="008B689D" w:rsidRPr="002B1C4F" w:rsidRDefault="008B689D"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1</w:t>
            </w:r>
          </w:p>
        </w:tc>
        <w:tc>
          <w:tcPr>
            <w:tcW w:w="614" w:type="pct"/>
            <w:tcBorders>
              <w:top w:val="nil"/>
              <w:left w:val="single" w:sz="4" w:space="0" w:color="auto"/>
              <w:bottom w:val="single" w:sz="4" w:space="0" w:color="auto"/>
              <w:right w:val="single" w:sz="4" w:space="0" w:color="auto"/>
            </w:tcBorders>
            <w:vAlign w:val="center"/>
          </w:tcPr>
          <w:p w14:paraId="100ADFCA" w14:textId="77777777" w:rsidR="008B689D" w:rsidRPr="002B1C4F" w:rsidRDefault="008B689D"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2" w:type="pct"/>
            <w:tcBorders>
              <w:top w:val="nil"/>
              <w:left w:val="single" w:sz="4" w:space="0" w:color="auto"/>
              <w:bottom w:val="single" w:sz="4" w:space="0" w:color="auto"/>
              <w:right w:val="single" w:sz="4" w:space="0" w:color="auto"/>
            </w:tcBorders>
            <w:vAlign w:val="center"/>
          </w:tcPr>
          <w:p w14:paraId="0C380A06" w14:textId="77777777" w:rsidR="008B689D" w:rsidRPr="002B1C4F" w:rsidRDefault="008B689D"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3</w:t>
            </w:r>
          </w:p>
        </w:tc>
        <w:tc>
          <w:tcPr>
            <w:tcW w:w="612" w:type="pct"/>
            <w:tcBorders>
              <w:top w:val="nil"/>
              <w:left w:val="single" w:sz="4" w:space="0" w:color="auto"/>
              <w:bottom w:val="single" w:sz="4" w:space="0" w:color="auto"/>
              <w:right w:val="single" w:sz="4" w:space="0" w:color="auto"/>
            </w:tcBorders>
            <w:vAlign w:val="center"/>
          </w:tcPr>
          <w:p w14:paraId="5CE54026" w14:textId="77777777" w:rsidR="008B689D" w:rsidRPr="002B1C4F" w:rsidRDefault="00E21757"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r>
      <w:tr w:rsidR="008B689D" w:rsidRPr="00392248" w14:paraId="09D37194" w14:textId="77777777" w:rsidTr="006251ED">
        <w:trPr>
          <w:trHeight w:val="300"/>
        </w:trPr>
        <w:tc>
          <w:tcPr>
            <w:tcW w:w="2548" w:type="pct"/>
            <w:tcBorders>
              <w:top w:val="nil"/>
              <w:left w:val="single" w:sz="4" w:space="0" w:color="auto"/>
              <w:bottom w:val="single" w:sz="4" w:space="0" w:color="auto"/>
              <w:right w:val="single" w:sz="4" w:space="0" w:color="auto"/>
            </w:tcBorders>
            <w:shd w:val="clear" w:color="auto" w:fill="auto"/>
            <w:noWrap/>
            <w:vAlign w:val="bottom"/>
          </w:tcPr>
          <w:p w14:paraId="25B43D39" w14:textId="77777777" w:rsidR="008B689D" w:rsidRPr="002B1C4F" w:rsidRDefault="008B689D" w:rsidP="002B1C4F">
            <w:pPr>
              <w:spacing w:after="0" w:line="240" w:lineRule="auto"/>
              <w:jc w:val="both"/>
              <w:rPr>
                <w:rFonts w:ascii="Times New Roman" w:hAnsi="Times New Roman"/>
                <w:b/>
                <w:sz w:val="24"/>
                <w:szCs w:val="24"/>
              </w:rPr>
            </w:pPr>
            <w:r w:rsidRPr="002B1C4F">
              <w:rPr>
                <w:rFonts w:ascii="Times New Roman" w:hAnsi="Times New Roman"/>
                <w:b/>
                <w:sz w:val="24"/>
                <w:szCs w:val="24"/>
              </w:rPr>
              <w:t>Unfounded</w:t>
            </w:r>
          </w:p>
        </w:tc>
        <w:tc>
          <w:tcPr>
            <w:tcW w:w="614" w:type="pct"/>
            <w:tcBorders>
              <w:top w:val="nil"/>
              <w:left w:val="single" w:sz="4" w:space="0" w:color="auto"/>
              <w:bottom w:val="single" w:sz="4" w:space="0" w:color="auto"/>
              <w:right w:val="single" w:sz="4" w:space="0" w:color="auto"/>
            </w:tcBorders>
            <w:vAlign w:val="center"/>
          </w:tcPr>
          <w:p w14:paraId="0E9D720D" w14:textId="77777777" w:rsidR="008B689D" w:rsidRPr="002B1C4F" w:rsidRDefault="008B689D"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4" w:type="pct"/>
            <w:tcBorders>
              <w:top w:val="nil"/>
              <w:left w:val="single" w:sz="4" w:space="0" w:color="auto"/>
              <w:bottom w:val="single" w:sz="4" w:space="0" w:color="auto"/>
              <w:right w:val="single" w:sz="4" w:space="0" w:color="auto"/>
            </w:tcBorders>
            <w:vAlign w:val="center"/>
          </w:tcPr>
          <w:p w14:paraId="492D14FE" w14:textId="77777777" w:rsidR="008B689D" w:rsidRPr="002B1C4F" w:rsidRDefault="008B689D"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2" w:type="pct"/>
            <w:tcBorders>
              <w:top w:val="nil"/>
              <w:left w:val="single" w:sz="4" w:space="0" w:color="auto"/>
              <w:bottom w:val="single" w:sz="4" w:space="0" w:color="auto"/>
              <w:right w:val="single" w:sz="4" w:space="0" w:color="auto"/>
            </w:tcBorders>
            <w:vAlign w:val="center"/>
          </w:tcPr>
          <w:p w14:paraId="618B3DEC" w14:textId="77777777" w:rsidR="008B689D" w:rsidRPr="002B1C4F" w:rsidRDefault="008B689D"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2" w:type="pct"/>
            <w:tcBorders>
              <w:top w:val="nil"/>
              <w:left w:val="single" w:sz="4" w:space="0" w:color="auto"/>
              <w:bottom w:val="single" w:sz="4" w:space="0" w:color="auto"/>
              <w:right w:val="single" w:sz="4" w:space="0" w:color="auto"/>
            </w:tcBorders>
            <w:vAlign w:val="center"/>
          </w:tcPr>
          <w:p w14:paraId="35D364EC" w14:textId="77777777" w:rsidR="008B689D" w:rsidRPr="002B1C4F" w:rsidRDefault="008B689D"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r>
      <w:tr w:rsidR="008B689D" w:rsidRPr="00392248" w14:paraId="5521A401" w14:textId="77777777" w:rsidTr="006251ED">
        <w:trPr>
          <w:trHeight w:val="300"/>
        </w:trPr>
        <w:tc>
          <w:tcPr>
            <w:tcW w:w="2548" w:type="pct"/>
            <w:tcBorders>
              <w:top w:val="nil"/>
              <w:left w:val="single" w:sz="4" w:space="0" w:color="auto"/>
              <w:bottom w:val="single" w:sz="4" w:space="0" w:color="auto"/>
              <w:right w:val="single" w:sz="4" w:space="0" w:color="auto"/>
            </w:tcBorders>
            <w:shd w:val="clear" w:color="auto" w:fill="auto"/>
            <w:noWrap/>
            <w:vAlign w:val="bottom"/>
          </w:tcPr>
          <w:p w14:paraId="0FB8E4F4" w14:textId="77777777" w:rsidR="008B689D" w:rsidRPr="002B1C4F" w:rsidRDefault="008B689D" w:rsidP="002B1C4F">
            <w:pPr>
              <w:spacing w:after="0" w:line="240" w:lineRule="auto"/>
              <w:jc w:val="both"/>
              <w:rPr>
                <w:rFonts w:ascii="Times New Roman" w:hAnsi="Times New Roman"/>
                <w:b/>
                <w:sz w:val="24"/>
                <w:szCs w:val="24"/>
              </w:rPr>
            </w:pPr>
            <w:r w:rsidRPr="002B1C4F">
              <w:rPr>
                <w:rFonts w:ascii="Times New Roman" w:hAnsi="Times New Roman"/>
                <w:b/>
                <w:sz w:val="24"/>
                <w:szCs w:val="24"/>
              </w:rPr>
              <w:t>Investigation Ongoing</w:t>
            </w:r>
          </w:p>
        </w:tc>
        <w:tc>
          <w:tcPr>
            <w:tcW w:w="614" w:type="pct"/>
            <w:tcBorders>
              <w:top w:val="nil"/>
              <w:left w:val="single" w:sz="4" w:space="0" w:color="auto"/>
              <w:bottom w:val="single" w:sz="4" w:space="0" w:color="auto"/>
              <w:right w:val="single" w:sz="4" w:space="0" w:color="auto"/>
            </w:tcBorders>
            <w:vAlign w:val="center"/>
          </w:tcPr>
          <w:p w14:paraId="4334223B" w14:textId="77777777" w:rsidR="008B689D" w:rsidRPr="002B1C4F" w:rsidRDefault="008B689D"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1</w:t>
            </w:r>
          </w:p>
        </w:tc>
        <w:tc>
          <w:tcPr>
            <w:tcW w:w="614" w:type="pct"/>
            <w:tcBorders>
              <w:top w:val="nil"/>
              <w:left w:val="single" w:sz="4" w:space="0" w:color="auto"/>
              <w:bottom w:val="single" w:sz="4" w:space="0" w:color="auto"/>
              <w:right w:val="single" w:sz="4" w:space="0" w:color="auto"/>
            </w:tcBorders>
            <w:vAlign w:val="center"/>
          </w:tcPr>
          <w:p w14:paraId="4212171D" w14:textId="77777777" w:rsidR="008B689D" w:rsidRPr="002B1C4F" w:rsidRDefault="008B689D"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1</w:t>
            </w:r>
          </w:p>
        </w:tc>
        <w:tc>
          <w:tcPr>
            <w:tcW w:w="612" w:type="pct"/>
            <w:tcBorders>
              <w:top w:val="nil"/>
              <w:left w:val="single" w:sz="4" w:space="0" w:color="auto"/>
              <w:bottom w:val="single" w:sz="4" w:space="0" w:color="auto"/>
              <w:right w:val="single" w:sz="4" w:space="0" w:color="auto"/>
            </w:tcBorders>
            <w:vAlign w:val="center"/>
          </w:tcPr>
          <w:p w14:paraId="4B0D79AB" w14:textId="77777777" w:rsidR="008B689D" w:rsidRPr="002B1C4F" w:rsidRDefault="008B689D"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2" w:type="pct"/>
            <w:tcBorders>
              <w:top w:val="nil"/>
              <w:left w:val="single" w:sz="4" w:space="0" w:color="auto"/>
              <w:bottom w:val="single" w:sz="4" w:space="0" w:color="auto"/>
              <w:right w:val="single" w:sz="4" w:space="0" w:color="auto"/>
            </w:tcBorders>
            <w:vAlign w:val="center"/>
          </w:tcPr>
          <w:p w14:paraId="5F016F8F" w14:textId="77777777" w:rsidR="008B689D" w:rsidRPr="002B1C4F" w:rsidRDefault="008B689D"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r>
      <w:tr w:rsidR="008B689D" w:rsidRPr="00392248" w14:paraId="4FC998F8" w14:textId="77777777" w:rsidTr="006251ED">
        <w:trPr>
          <w:trHeight w:val="300"/>
        </w:trPr>
        <w:tc>
          <w:tcPr>
            <w:tcW w:w="2548" w:type="pct"/>
            <w:tcBorders>
              <w:top w:val="nil"/>
              <w:left w:val="single" w:sz="4" w:space="0" w:color="auto"/>
              <w:bottom w:val="single" w:sz="4" w:space="0" w:color="auto"/>
              <w:right w:val="single" w:sz="4" w:space="0" w:color="auto"/>
            </w:tcBorders>
            <w:shd w:val="clear" w:color="auto" w:fill="auto"/>
            <w:noWrap/>
            <w:vAlign w:val="bottom"/>
          </w:tcPr>
          <w:p w14:paraId="069D9927" w14:textId="77777777" w:rsidR="008B689D" w:rsidRPr="002B1C4F" w:rsidRDefault="008B689D" w:rsidP="002B1C4F">
            <w:pPr>
              <w:spacing w:after="0" w:line="240" w:lineRule="auto"/>
              <w:jc w:val="both"/>
              <w:rPr>
                <w:rFonts w:ascii="Times New Roman" w:hAnsi="Times New Roman"/>
                <w:b/>
                <w:sz w:val="24"/>
                <w:szCs w:val="24"/>
              </w:rPr>
            </w:pPr>
            <w:r w:rsidRPr="002B1C4F">
              <w:rPr>
                <w:rFonts w:ascii="Times New Roman" w:hAnsi="Times New Roman"/>
                <w:b/>
                <w:sz w:val="24"/>
                <w:szCs w:val="24"/>
              </w:rPr>
              <w:t>Total</w:t>
            </w:r>
          </w:p>
        </w:tc>
        <w:tc>
          <w:tcPr>
            <w:tcW w:w="614" w:type="pct"/>
            <w:tcBorders>
              <w:top w:val="nil"/>
              <w:left w:val="single" w:sz="4" w:space="0" w:color="auto"/>
              <w:bottom w:val="single" w:sz="4" w:space="0" w:color="auto"/>
              <w:right w:val="single" w:sz="4" w:space="0" w:color="auto"/>
            </w:tcBorders>
            <w:vAlign w:val="center"/>
          </w:tcPr>
          <w:p w14:paraId="67091806" w14:textId="77777777" w:rsidR="008B689D" w:rsidRPr="002B1C4F" w:rsidRDefault="008B689D"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2</w:t>
            </w:r>
          </w:p>
        </w:tc>
        <w:tc>
          <w:tcPr>
            <w:tcW w:w="614" w:type="pct"/>
            <w:tcBorders>
              <w:top w:val="nil"/>
              <w:left w:val="single" w:sz="4" w:space="0" w:color="auto"/>
              <w:bottom w:val="single" w:sz="4" w:space="0" w:color="auto"/>
              <w:right w:val="single" w:sz="4" w:space="0" w:color="auto"/>
            </w:tcBorders>
            <w:vAlign w:val="center"/>
          </w:tcPr>
          <w:p w14:paraId="62EB9A7C" w14:textId="77777777" w:rsidR="008B689D" w:rsidRPr="002B1C4F" w:rsidRDefault="008B689D"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1</w:t>
            </w:r>
          </w:p>
        </w:tc>
        <w:tc>
          <w:tcPr>
            <w:tcW w:w="612" w:type="pct"/>
            <w:tcBorders>
              <w:top w:val="nil"/>
              <w:left w:val="single" w:sz="4" w:space="0" w:color="auto"/>
              <w:bottom w:val="single" w:sz="4" w:space="0" w:color="auto"/>
              <w:right w:val="single" w:sz="4" w:space="0" w:color="auto"/>
            </w:tcBorders>
            <w:vAlign w:val="center"/>
          </w:tcPr>
          <w:p w14:paraId="03926E01" w14:textId="77777777" w:rsidR="008B689D" w:rsidRPr="002B1C4F" w:rsidRDefault="008B689D"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3</w:t>
            </w:r>
          </w:p>
        </w:tc>
        <w:tc>
          <w:tcPr>
            <w:tcW w:w="612" w:type="pct"/>
            <w:tcBorders>
              <w:top w:val="nil"/>
              <w:left w:val="single" w:sz="4" w:space="0" w:color="auto"/>
              <w:bottom w:val="single" w:sz="4" w:space="0" w:color="auto"/>
              <w:right w:val="single" w:sz="4" w:space="0" w:color="auto"/>
            </w:tcBorders>
            <w:vAlign w:val="center"/>
          </w:tcPr>
          <w:p w14:paraId="2392BF82" w14:textId="77777777" w:rsidR="008B689D" w:rsidRPr="002B1C4F" w:rsidRDefault="00E21757"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r>
    </w:tbl>
    <w:p w14:paraId="03FE4B86" w14:textId="77777777" w:rsidR="009B7496" w:rsidRPr="002B1C4F" w:rsidRDefault="009B7496" w:rsidP="00392248">
      <w:pPr>
        <w:spacing w:line="360" w:lineRule="auto"/>
        <w:jc w:val="center"/>
        <w:rPr>
          <w:rFonts w:ascii="Garamond" w:hAnsi="Garamond"/>
          <w:b/>
          <w:szCs w:val="20"/>
          <w:highlight w:val="yellow"/>
        </w:rPr>
      </w:pPr>
    </w:p>
    <w:p w14:paraId="50F54971" w14:textId="09959F0D" w:rsidR="00150432" w:rsidRPr="002B1C4F" w:rsidRDefault="001E4B44" w:rsidP="002B1C4F">
      <w:pPr>
        <w:spacing w:after="0" w:line="360" w:lineRule="auto"/>
        <w:jc w:val="center"/>
        <w:rPr>
          <w:rFonts w:ascii="Times New Roman" w:hAnsi="Times New Roman"/>
          <w:b/>
          <w:sz w:val="28"/>
          <w:szCs w:val="24"/>
          <w:highlight w:val="yellow"/>
        </w:rPr>
      </w:pPr>
      <w:r w:rsidRPr="002B1C4F">
        <w:rPr>
          <w:rFonts w:ascii="Times New Roman" w:hAnsi="Times New Roman"/>
          <w:b/>
          <w:sz w:val="28"/>
          <w:szCs w:val="24"/>
        </w:rPr>
        <w:t>Juvenile Detention Facility</w:t>
      </w:r>
    </w:p>
    <w:tbl>
      <w:tblPr>
        <w:tblpPr w:leftFromText="180" w:rightFromText="180" w:vertAnchor="text" w:horzAnchor="margin" w:tblpXSpec="center" w:tblpY="179"/>
        <w:tblW w:w="5000" w:type="pct"/>
        <w:tblLook w:val="04A0" w:firstRow="1" w:lastRow="0" w:firstColumn="1" w:lastColumn="0" w:noHBand="0" w:noVBand="1"/>
      </w:tblPr>
      <w:tblGrid>
        <w:gridCol w:w="5498"/>
        <w:gridCol w:w="1325"/>
        <w:gridCol w:w="1325"/>
        <w:gridCol w:w="1321"/>
        <w:gridCol w:w="1321"/>
      </w:tblGrid>
      <w:tr w:rsidR="00AF565C" w:rsidRPr="002B1C4F" w14:paraId="7EFDBBF6" w14:textId="77777777" w:rsidTr="006251ED">
        <w:trPr>
          <w:trHeight w:val="440"/>
        </w:trPr>
        <w:tc>
          <w:tcPr>
            <w:tcW w:w="2548"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6D0F6291" w14:textId="77777777" w:rsidR="00AF565C" w:rsidRPr="002B1C4F" w:rsidRDefault="00AF565C" w:rsidP="006251ED">
            <w:pPr>
              <w:spacing w:after="0" w:line="240" w:lineRule="auto"/>
              <w:jc w:val="center"/>
              <w:rPr>
                <w:rFonts w:ascii="Times New Roman" w:hAnsi="Times New Roman"/>
                <w:b/>
                <w:bCs/>
                <w:sz w:val="28"/>
                <w:szCs w:val="24"/>
              </w:rPr>
            </w:pPr>
            <w:r w:rsidRPr="002B1C4F">
              <w:rPr>
                <w:rFonts w:ascii="Times New Roman" w:hAnsi="Times New Roman"/>
                <w:b/>
                <w:bCs/>
                <w:sz w:val="28"/>
                <w:szCs w:val="24"/>
              </w:rPr>
              <w:t>PREA Allegations of Staff-on-Client</w:t>
            </w:r>
          </w:p>
        </w:tc>
        <w:tc>
          <w:tcPr>
            <w:tcW w:w="614" w:type="pct"/>
            <w:tcBorders>
              <w:top w:val="single" w:sz="4" w:space="0" w:color="auto"/>
              <w:left w:val="single" w:sz="4" w:space="0" w:color="auto"/>
              <w:bottom w:val="single" w:sz="4" w:space="0" w:color="auto"/>
              <w:right w:val="single" w:sz="4" w:space="0" w:color="auto"/>
            </w:tcBorders>
            <w:shd w:val="clear" w:color="auto" w:fill="A6A6A6"/>
            <w:vAlign w:val="center"/>
          </w:tcPr>
          <w:p w14:paraId="024551CF" w14:textId="77777777" w:rsidR="00AF565C" w:rsidRPr="002B1C4F" w:rsidRDefault="00AF565C" w:rsidP="006251ED">
            <w:pPr>
              <w:spacing w:after="0" w:line="240" w:lineRule="auto"/>
              <w:jc w:val="center"/>
              <w:rPr>
                <w:rFonts w:ascii="Times New Roman" w:hAnsi="Times New Roman"/>
                <w:b/>
                <w:sz w:val="28"/>
                <w:szCs w:val="24"/>
              </w:rPr>
            </w:pPr>
            <w:r w:rsidRPr="002B1C4F">
              <w:rPr>
                <w:rFonts w:ascii="Times New Roman" w:hAnsi="Times New Roman"/>
                <w:b/>
                <w:sz w:val="28"/>
                <w:szCs w:val="24"/>
              </w:rPr>
              <w:t>2021</w:t>
            </w:r>
          </w:p>
        </w:tc>
        <w:tc>
          <w:tcPr>
            <w:tcW w:w="614" w:type="pct"/>
            <w:tcBorders>
              <w:top w:val="single" w:sz="4" w:space="0" w:color="auto"/>
              <w:left w:val="single" w:sz="4" w:space="0" w:color="auto"/>
              <w:bottom w:val="single" w:sz="4" w:space="0" w:color="auto"/>
              <w:right w:val="single" w:sz="4" w:space="0" w:color="auto"/>
            </w:tcBorders>
            <w:shd w:val="clear" w:color="auto" w:fill="A6A6A6"/>
            <w:vAlign w:val="center"/>
          </w:tcPr>
          <w:p w14:paraId="386032DD" w14:textId="77777777" w:rsidR="00AF565C" w:rsidRPr="002B1C4F" w:rsidRDefault="00AF565C" w:rsidP="006251ED">
            <w:pPr>
              <w:spacing w:after="0" w:line="240" w:lineRule="auto"/>
              <w:jc w:val="center"/>
              <w:rPr>
                <w:rFonts w:ascii="Times New Roman" w:hAnsi="Times New Roman"/>
                <w:b/>
                <w:sz w:val="28"/>
                <w:szCs w:val="24"/>
              </w:rPr>
            </w:pPr>
            <w:r w:rsidRPr="002B1C4F">
              <w:rPr>
                <w:rFonts w:ascii="Times New Roman" w:hAnsi="Times New Roman"/>
                <w:b/>
                <w:sz w:val="28"/>
                <w:szCs w:val="24"/>
              </w:rPr>
              <w:t>2022</w:t>
            </w:r>
          </w:p>
        </w:tc>
        <w:tc>
          <w:tcPr>
            <w:tcW w:w="612" w:type="pct"/>
            <w:tcBorders>
              <w:top w:val="single" w:sz="4" w:space="0" w:color="auto"/>
              <w:left w:val="single" w:sz="4" w:space="0" w:color="auto"/>
              <w:bottom w:val="single" w:sz="4" w:space="0" w:color="auto"/>
              <w:right w:val="single" w:sz="4" w:space="0" w:color="auto"/>
            </w:tcBorders>
            <w:shd w:val="clear" w:color="auto" w:fill="A6A6A6"/>
            <w:vAlign w:val="center"/>
          </w:tcPr>
          <w:p w14:paraId="5D8C18C2" w14:textId="77777777" w:rsidR="00AF565C" w:rsidRPr="002B1C4F" w:rsidRDefault="00AF565C" w:rsidP="006251ED">
            <w:pPr>
              <w:spacing w:after="0" w:line="240" w:lineRule="auto"/>
              <w:jc w:val="center"/>
              <w:rPr>
                <w:rFonts w:ascii="Times New Roman" w:hAnsi="Times New Roman"/>
                <w:b/>
                <w:sz w:val="28"/>
                <w:szCs w:val="24"/>
              </w:rPr>
            </w:pPr>
            <w:r w:rsidRPr="002B1C4F">
              <w:rPr>
                <w:rFonts w:ascii="Times New Roman" w:hAnsi="Times New Roman"/>
                <w:b/>
                <w:sz w:val="28"/>
                <w:szCs w:val="24"/>
              </w:rPr>
              <w:t>2023</w:t>
            </w:r>
          </w:p>
        </w:tc>
        <w:tc>
          <w:tcPr>
            <w:tcW w:w="612" w:type="pct"/>
            <w:tcBorders>
              <w:top w:val="single" w:sz="4" w:space="0" w:color="auto"/>
              <w:left w:val="single" w:sz="4" w:space="0" w:color="auto"/>
              <w:bottom w:val="single" w:sz="4" w:space="0" w:color="auto"/>
              <w:right w:val="single" w:sz="4" w:space="0" w:color="auto"/>
            </w:tcBorders>
            <w:shd w:val="clear" w:color="auto" w:fill="A6A6A6"/>
            <w:vAlign w:val="center"/>
          </w:tcPr>
          <w:p w14:paraId="629EBE77" w14:textId="77777777" w:rsidR="00AF565C" w:rsidRPr="002B1C4F" w:rsidRDefault="00AF565C" w:rsidP="006251ED">
            <w:pPr>
              <w:spacing w:after="0" w:line="240" w:lineRule="auto"/>
              <w:jc w:val="center"/>
              <w:rPr>
                <w:rFonts w:ascii="Times New Roman" w:hAnsi="Times New Roman"/>
                <w:b/>
                <w:sz w:val="28"/>
                <w:szCs w:val="24"/>
                <w:highlight w:val="yellow"/>
              </w:rPr>
            </w:pPr>
            <w:r w:rsidRPr="002B1C4F">
              <w:rPr>
                <w:rFonts w:ascii="Times New Roman" w:hAnsi="Times New Roman"/>
                <w:b/>
                <w:sz w:val="28"/>
                <w:szCs w:val="24"/>
              </w:rPr>
              <w:t>2024</w:t>
            </w:r>
          </w:p>
        </w:tc>
      </w:tr>
      <w:tr w:rsidR="00AF565C" w:rsidRPr="002B1C4F" w14:paraId="4555E7E2" w14:textId="77777777" w:rsidTr="006251ED">
        <w:trPr>
          <w:trHeight w:val="341"/>
        </w:trPr>
        <w:tc>
          <w:tcPr>
            <w:tcW w:w="2548" w:type="pct"/>
            <w:tcBorders>
              <w:top w:val="nil"/>
              <w:left w:val="single" w:sz="4" w:space="0" w:color="auto"/>
              <w:bottom w:val="single" w:sz="4" w:space="0" w:color="auto"/>
              <w:right w:val="single" w:sz="4" w:space="0" w:color="auto"/>
            </w:tcBorders>
            <w:shd w:val="clear" w:color="auto" w:fill="auto"/>
            <w:noWrap/>
            <w:vAlign w:val="bottom"/>
          </w:tcPr>
          <w:p w14:paraId="6720B950" w14:textId="77777777" w:rsidR="00AF565C" w:rsidRPr="002B1C4F" w:rsidRDefault="00AF565C" w:rsidP="006251ED">
            <w:pPr>
              <w:spacing w:after="0" w:line="240" w:lineRule="auto"/>
              <w:jc w:val="both"/>
              <w:rPr>
                <w:rFonts w:ascii="Times New Roman" w:hAnsi="Times New Roman"/>
                <w:b/>
                <w:sz w:val="24"/>
                <w:szCs w:val="24"/>
              </w:rPr>
            </w:pPr>
            <w:r w:rsidRPr="002B1C4F">
              <w:rPr>
                <w:rFonts w:ascii="Times New Roman" w:hAnsi="Times New Roman"/>
                <w:b/>
                <w:sz w:val="24"/>
                <w:szCs w:val="24"/>
              </w:rPr>
              <w:t>Substantiated</w:t>
            </w:r>
          </w:p>
        </w:tc>
        <w:tc>
          <w:tcPr>
            <w:tcW w:w="614" w:type="pct"/>
            <w:tcBorders>
              <w:top w:val="nil"/>
              <w:left w:val="single" w:sz="4" w:space="0" w:color="auto"/>
              <w:bottom w:val="single" w:sz="4" w:space="0" w:color="auto"/>
              <w:right w:val="single" w:sz="4" w:space="0" w:color="auto"/>
            </w:tcBorders>
            <w:vAlign w:val="center"/>
          </w:tcPr>
          <w:p w14:paraId="6D721018" w14:textId="77777777" w:rsidR="00AF565C" w:rsidRPr="002B1C4F" w:rsidRDefault="00AF565C"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4" w:type="pct"/>
            <w:tcBorders>
              <w:top w:val="nil"/>
              <w:left w:val="single" w:sz="4" w:space="0" w:color="auto"/>
              <w:bottom w:val="single" w:sz="4" w:space="0" w:color="auto"/>
              <w:right w:val="single" w:sz="4" w:space="0" w:color="auto"/>
            </w:tcBorders>
            <w:vAlign w:val="center"/>
          </w:tcPr>
          <w:p w14:paraId="4BE06759" w14:textId="77777777" w:rsidR="00AF565C" w:rsidRPr="002B1C4F" w:rsidRDefault="00AF565C"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2" w:type="pct"/>
            <w:tcBorders>
              <w:top w:val="nil"/>
              <w:left w:val="single" w:sz="4" w:space="0" w:color="auto"/>
              <w:bottom w:val="single" w:sz="4" w:space="0" w:color="auto"/>
              <w:right w:val="single" w:sz="4" w:space="0" w:color="auto"/>
            </w:tcBorders>
            <w:vAlign w:val="center"/>
          </w:tcPr>
          <w:p w14:paraId="7AE99A45" w14:textId="77777777" w:rsidR="00AF565C" w:rsidRPr="002B1C4F" w:rsidRDefault="00AF565C"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2" w:type="pct"/>
            <w:tcBorders>
              <w:top w:val="nil"/>
              <w:left w:val="single" w:sz="4" w:space="0" w:color="auto"/>
              <w:bottom w:val="single" w:sz="4" w:space="0" w:color="auto"/>
              <w:right w:val="single" w:sz="4" w:space="0" w:color="auto"/>
            </w:tcBorders>
            <w:vAlign w:val="center"/>
          </w:tcPr>
          <w:p w14:paraId="6ED03A35" w14:textId="77777777" w:rsidR="00AF565C" w:rsidRPr="002B1C4F" w:rsidRDefault="00AF565C"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r>
      <w:tr w:rsidR="00AF565C" w:rsidRPr="002B1C4F" w14:paraId="366378D0" w14:textId="77777777" w:rsidTr="006251ED">
        <w:trPr>
          <w:trHeight w:val="300"/>
        </w:trPr>
        <w:tc>
          <w:tcPr>
            <w:tcW w:w="2548" w:type="pct"/>
            <w:tcBorders>
              <w:top w:val="nil"/>
              <w:left w:val="single" w:sz="4" w:space="0" w:color="auto"/>
              <w:bottom w:val="single" w:sz="4" w:space="0" w:color="auto"/>
              <w:right w:val="single" w:sz="4" w:space="0" w:color="auto"/>
            </w:tcBorders>
            <w:shd w:val="clear" w:color="auto" w:fill="auto"/>
            <w:noWrap/>
            <w:vAlign w:val="bottom"/>
          </w:tcPr>
          <w:p w14:paraId="0BADA0D9" w14:textId="77777777" w:rsidR="00AF565C" w:rsidRPr="002B1C4F" w:rsidRDefault="00AF565C" w:rsidP="006251ED">
            <w:pPr>
              <w:spacing w:after="0" w:line="240" w:lineRule="auto"/>
              <w:jc w:val="both"/>
              <w:rPr>
                <w:rFonts w:ascii="Times New Roman" w:hAnsi="Times New Roman"/>
                <w:b/>
                <w:sz w:val="24"/>
                <w:szCs w:val="24"/>
              </w:rPr>
            </w:pPr>
            <w:r w:rsidRPr="002B1C4F">
              <w:rPr>
                <w:rFonts w:ascii="Times New Roman" w:hAnsi="Times New Roman"/>
                <w:b/>
                <w:sz w:val="24"/>
                <w:szCs w:val="24"/>
              </w:rPr>
              <w:t>Unsubstantiated</w:t>
            </w:r>
          </w:p>
        </w:tc>
        <w:tc>
          <w:tcPr>
            <w:tcW w:w="614" w:type="pct"/>
            <w:tcBorders>
              <w:top w:val="nil"/>
              <w:left w:val="single" w:sz="4" w:space="0" w:color="auto"/>
              <w:bottom w:val="single" w:sz="4" w:space="0" w:color="auto"/>
              <w:right w:val="single" w:sz="4" w:space="0" w:color="auto"/>
            </w:tcBorders>
            <w:vAlign w:val="center"/>
          </w:tcPr>
          <w:p w14:paraId="1F004CD9" w14:textId="77777777" w:rsidR="00AF565C" w:rsidRPr="002B1C4F" w:rsidRDefault="00AF565C"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4" w:type="pct"/>
            <w:tcBorders>
              <w:top w:val="nil"/>
              <w:left w:val="single" w:sz="4" w:space="0" w:color="auto"/>
              <w:bottom w:val="single" w:sz="4" w:space="0" w:color="auto"/>
              <w:right w:val="single" w:sz="4" w:space="0" w:color="auto"/>
            </w:tcBorders>
            <w:vAlign w:val="center"/>
          </w:tcPr>
          <w:p w14:paraId="6990D428" w14:textId="77777777" w:rsidR="00AF565C" w:rsidRPr="002B1C4F" w:rsidRDefault="00AF565C"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2" w:type="pct"/>
            <w:tcBorders>
              <w:top w:val="nil"/>
              <w:left w:val="single" w:sz="4" w:space="0" w:color="auto"/>
              <w:bottom w:val="single" w:sz="4" w:space="0" w:color="auto"/>
              <w:right w:val="single" w:sz="4" w:space="0" w:color="auto"/>
            </w:tcBorders>
            <w:vAlign w:val="center"/>
          </w:tcPr>
          <w:p w14:paraId="7427ECA0" w14:textId="77777777" w:rsidR="00AF565C" w:rsidRPr="002B1C4F" w:rsidRDefault="00AF565C"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2</w:t>
            </w:r>
          </w:p>
        </w:tc>
        <w:tc>
          <w:tcPr>
            <w:tcW w:w="612" w:type="pct"/>
            <w:tcBorders>
              <w:top w:val="nil"/>
              <w:left w:val="single" w:sz="4" w:space="0" w:color="auto"/>
              <w:bottom w:val="single" w:sz="4" w:space="0" w:color="auto"/>
              <w:right w:val="single" w:sz="4" w:space="0" w:color="auto"/>
            </w:tcBorders>
            <w:vAlign w:val="center"/>
          </w:tcPr>
          <w:p w14:paraId="3AADBE1F" w14:textId="77777777" w:rsidR="00AF565C" w:rsidRPr="002B1C4F" w:rsidRDefault="00AF565C"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6</w:t>
            </w:r>
          </w:p>
        </w:tc>
      </w:tr>
      <w:tr w:rsidR="00AF565C" w:rsidRPr="002B1C4F" w14:paraId="5CE9EE66" w14:textId="77777777" w:rsidTr="006251ED">
        <w:trPr>
          <w:trHeight w:val="300"/>
        </w:trPr>
        <w:tc>
          <w:tcPr>
            <w:tcW w:w="2548" w:type="pct"/>
            <w:tcBorders>
              <w:top w:val="nil"/>
              <w:left w:val="single" w:sz="4" w:space="0" w:color="auto"/>
              <w:bottom w:val="single" w:sz="4" w:space="0" w:color="auto"/>
              <w:right w:val="single" w:sz="4" w:space="0" w:color="auto"/>
            </w:tcBorders>
            <w:shd w:val="clear" w:color="auto" w:fill="auto"/>
            <w:noWrap/>
            <w:vAlign w:val="bottom"/>
          </w:tcPr>
          <w:p w14:paraId="211E9D54" w14:textId="77777777" w:rsidR="00AF565C" w:rsidRPr="002B1C4F" w:rsidRDefault="00AF565C" w:rsidP="006251ED">
            <w:pPr>
              <w:spacing w:after="0" w:line="240" w:lineRule="auto"/>
              <w:jc w:val="both"/>
              <w:rPr>
                <w:rFonts w:ascii="Times New Roman" w:hAnsi="Times New Roman"/>
                <w:b/>
                <w:sz w:val="24"/>
                <w:szCs w:val="24"/>
              </w:rPr>
            </w:pPr>
            <w:r w:rsidRPr="002B1C4F">
              <w:rPr>
                <w:rFonts w:ascii="Times New Roman" w:hAnsi="Times New Roman"/>
                <w:b/>
                <w:sz w:val="24"/>
                <w:szCs w:val="24"/>
              </w:rPr>
              <w:t>Unfounded</w:t>
            </w:r>
          </w:p>
        </w:tc>
        <w:tc>
          <w:tcPr>
            <w:tcW w:w="614" w:type="pct"/>
            <w:tcBorders>
              <w:top w:val="nil"/>
              <w:left w:val="single" w:sz="4" w:space="0" w:color="auto"/>
              <w:bottom w:val="single" w:sz="4" w:space="0" w:color="auto"/>
              <w:right w:val="single" w:sz="4" w:space="0" w:color="auto"/>
            </w:tcBorders>
            <w:vAlign w:val="center"/>
          </w:tcPr>
          <w:p w14:paraId="2E866A38" w14:textId="77777777" w:rsidR="00AF565C" w:rsidRPr="002B1C4F" w:rsidRDefault="00AF565C"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4" w:type="pct"/>
            <w:tcBorders>
              <w:top w:val="nil"/>
              <w:left w:val="single" w:sz="4" w:space="0" w:color="auto"/>
              <w:bottom w:val="single" w:sz="4" w:space="0" w:color="auto"/>
              <w:right w:val="single" w:sz="4" w:space="0" w:color="auto"/>
            </w:tcBorders>
            <w:vAlign w:val="center"/>
          </w:tcPr>
          <w:p w14:paraId="75A5C3DA" w14:textId="77777777" w:rsidR="00AF565C" w:rsidRPr="002B1C4F" w:rsidRDefault="00AF565C"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2" w:type="pct"/>
            <w:tcBorders>
              <w:top w:val="nil"/>
              <w:left w:val="single" w:sz="4" w:space="0" w:color="auto"/>
              <w:bottom w:val="single" w:sz="4" w:space="0" w:color="auto"/>
              <w:right w:val="single" w:sz="4" w:space="0" w:color="auto"/>
            </w:tcBorders>
            <w:vAlign w:val="center"/>
          </w:tcPr>
          <w:p w14:paraId="73577668" w14:textId="77777777" w:rsidR="00AF565C" w:rsidRPr="002B1C4F" w:rsidRDefault="00AF565C"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2" w:type="pct"/>
            <w:tcBorders>
              <w:top w:val="nil"/>
              <w:left w:val="single" w:sz="4" w:space="0" w:color="auto"/>
              <w:bottom w:val="single" w:sz="4" w:space="0" w:color="auto"/>
              <w:right w:val="single" w:sz="4" w:space="0" w:color="auto"/>
            </w:tcBorders>
            <w:vAlign w:val="center"/>
          </w:tcPr>
          <w:p w14:paraId="7D66697D" w14:textId="77777777" w:rsidR="00AF565C" w:rsidRPr="002B1C4F" w:rsidRDefault="00AF565C"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1</w:t>
            </w:r>
          </w:p>
        </w:tc>
      </w:tr>
      <w:tr w:rsidR="00AF565C" w:rsidRPr="002B1C4F" w14:paraId="520AE6FA" w14:textId="77777777" w:rsidTr="006251ED">
        <w:trPr>
          <w:trHeight w:val="300"/>
        </w:trPr>
        <w:tc>
          <w:tcPr>
            <w:tcW w:w="2548" w:type="pct"/>
            <w:tcBorders>
              <w:top w:val="nil"/>
              <w:left w:val="single" w:sz="4" w:space="0" w:color="auto"/>
              <w:bottom w:val="single" w:sz="4" w:space="0" w:color="auto"/>
              <w:right w:val="single" w:sz="4" w:space="0" w:color="auto"/>
            </w:tcBorders>
            <w:shd w:val="clear" w:color="auto" w:fill="auto"/>
            <w:noWrap/>
            <w:vAlign w:val="bottom"/>
          </w:tcPr>
          <w:p w14:paraId="156BA0FD" w14:textId="77777777" w:rsidR="00AF565C" w:rsidRPr="002B1C4F" w:rsidRDefault="00AF565C" w:rsidP="006251ED">
            <w:pPr>
              <w:spacing w:after="0" w:line="240" w:lineRule="auto"/>
              <w:jc w:val="both"/>
              <w:rPr>
                <w:rFonts w:ascii="Times New Roman" w:hAnsi="Times New Roman"/>
                <w:b/>
                <w:sz w:val="24"/>
                <w:szCs w:val="24"/>
              </w:rPr>
            </w:pPr>
            <w:r w:rsidRPr="002B1C4F">
              <w:rPr>
                <w:rFonts w:ascii="Times New Roman" w:hAnsi="Times New Roman"/>
                <w:b/>
                <w:sz w:val="24"/>
                <w:szCs w:val="24"/>
              </w:rPr>
              <w:t>Investigation Ongoing</w:t>
            </w:r>
          </w:p>
        </w:tc>
        <w:tc>
          <w:tcPr>
            <w:tcW w:w="614" w:type="pct"/>
            <w:tcBorders>
              <w:top w:val="nil"/>
              <w:left w:val="single" w:sz="4" w:space="0" w:color="auto"/>
              <w:bottom w:val="single" w:sz="4" w:space="0" w:color="auto"/>
              <w:right w:val="single" w:sz="4" w:space="0" w:color="auto"/>
            </w:tcBorders>
            <w:vAlign w:val="center"/>
          </w:tcPr>
          <w:p w14:paraId="5D0BCCE5" w14:textId="77777777" w:rsidR="00AF565C" w:rsidRPr="002B1C4F" w:rsidRDefault="00AF565C"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4" w:type="pct"/>
            <w:tcBorders>
              <w:top w:val="nil"/>
              <w:left w:val="single" w:sz="4" w:space="0" w:color="auto"/>
              <w:bottom w:val="single" w:sz="4" w:space="0" w:color="auto"/>
              <w:right w:val="single" w:sz="4" w:space="0" w:color="auto"/>
            </w:tcBorders>
            <w:vAlign w:val="center"/>
          </w:tcPr>
          <w:p w14:paraId="28C055DE" w14:textId="77777777" w:rsidR="00AF565C" w:rsidRPr="002B1C4F" w:rsidRDefault="00AF565C"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2" w:type="pct"/>
            <w:tcBorders>
              <w:top w:val="nil"/>
              <w:left w:val="single" w:sz="4" w:space="0" w:color="auto"/>
              <w:bottom w:val="single" w:sz="4" w:space="0" w:color="auto"/>
              <w:right w:val="single" w:sz="4" w:space="0" w:color="auto"/>
            </w:tcBorders>
            <w:vAlign w:val="center"/>
          </w:tcPr>
          <w:p w14:paraId="75AAF5F8" w14:textId="77777777" w:rsidR="00AF565C" w:rsidRPr="002B1C4F" w:rsidRDefault="00AF565C"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1</w:t>
            </w:r>
          </w:p>
        </w:tc>
        <w:tc>
          <w:tcPr>
            <w:tcW w:w="612" w:type="pct"/>
            <w:tcBorders>
              <w:top w:val="nil"/>
              <w:left w:val="single" w:sz="4" w:space="0" w:color="auto"/>
              <w:bottom w:val="single" w:sz="4" w:space="0" w:color="auto"/>
              <w:right w:val="single" w:sz="4" w:space="0" w:color="auto"/>
            </w:tcBorders>
            <w:vAlign w:val="center"/>
          </w:tcPr>
          <w:p w14:paraId="3AAB2082" w14:textId="77777777" w:rsidR="00AF565C" w:rsidRPr="002B1C4F" w:rsidRDefault="00AF565C"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r>
      <w:tr w:rsidR="00AF565C" w:rsidRPr="002B1C4F" w14:paraId="109AA9DF" w14:textId="77777777" w:rsidTr="006251ED">
        <w:trPr>
          <w:trHeight w:val="300"/>
        </w:trPr>
        <w:tc>
          <w:tcPr>
            <w:tcW w:w="2548" w:type="pct"/>
            <w:tcBorders>
              <w:top w:val="nil"/>
              <w:left w:val="single" w:sz="4" w:space="0" w:color="auto"/>
              <w:bottom w:val="single" w:sz="4" w:space="0" w:color="auto"/>
              <w:right w:val="single" w:sz="4" w:space="0" w:color="auto"/>
            </w:tcBorders>
            <w:shd w:val="clear" w:color="auto" w:fill="auto"/>
            <w:noWrap/>
            <w:vAlign w:val="bottom"/>
          </w:tcPr>
          <w:p w14:paraId="074BF72A" w14:textId="77777777" w:rsidR="00AF565C" w:rsidRPr="002B1C4F" w:rsidRDefault="00AF565C" w:rsidP="006251ED">
            <w:pPr>
              <w:spacing w:after="0" w:line="240" w:lineRule="auto"/>
              <w:jc w:val="both"/>
              <w:rPr>
                <w:rFonts w:ascii="Times New Roman" w:hAnsi="Times New Roman"/>
                <w:b/>
                <w:sz w:val="24"/>
                <w:szCs w:val="24"/>
              </w:rPr>
            </w:pPr>
            <w:r w:rsidRPr="002B1C4F">
              <w:rPr>
                <w:rFonts w:ascii="Times New Roman" w:hAnsi="Times New Roman"/>
                <w:b/>
                <w:sz w:val="24"/>
                <w:szCs w:val="24"/>
              </w:rPr>
              <w:t>Total</w:t>
            </w:r>
          </w:p>
        </w:tc>
        <w:tc>
          <w:tcPr>
            <w:tcW w:w="614" w:type="pct"/>
            <w:tcBorders>
              <w:top w:val="nil"/>
              <w:left w:val="single" w:sz="4" w:space="0" w:color="auto"/>
              <w:bottom w:val="single" w:sz="4" w:space="0" w:color="auto"/>
              <w:right w:val="single" w:sz="4" w:space="0" w:color="auto"/>
            </w:tcBorders>
            <w:vAlign w:val="center"/>
          </w:tcPr>
          <w:p w14:paraId="0855C0C8" w14:textId="77777777" w:rsidR="00AF565C" w:rsidRPr="002B1C4F" w:rsidRDefault="00AF565C"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4" w:type="pct"/>
            <w:tcBorders>
              <w:top w:val="nil"/>
              <w:left w:val="single" w:sz="4" w:space="0" w:color="auto"/>
              <w:bottom w:val="single" w:sz="4" w:space="0" w:color="auto"/>
              <w:right w:val="single" w:sz="4" w:space="0" w:color="auto"/>
            </w:tcBorders>
            <w:vAlign w:val="center"/>
          </w:tcPr>
          <w:p w14:paraId="5CD166D0" w14:textId="77777777" w:rsidR="00AF565C" w:rsidRPr="002B1C4F" w:rsidRDefault="00AF565C"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2" w:type="pct"/>
            <w:tcBorders>
              <w:top w:val="nil"/>
              <w:left w:val="single" w:sz="4" w:space="0" w:color="auto"/>
              <w:bottom w:val="single" w:sz="4" w:space="0" w:color="auto"/>
              <w:right w:val="single" w:sz="4" w:space="0" w:color="auto"/>
            </w:tcBorders>
            <w:vAlign w:val="center"/>
          </w:tcPr>
          <w:p w14:paraId="68620F34" w14:textId="77777777" w:rsidR="00AF565C" w:rsidRPr="002B1C4F" w:rsidRDefault="00AF565C"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3</w:t>
            </w:r>
          </w:p>
        </w:tc>
        <w:tc>
          <w:tcPr>
            <w:tcW w:w="612" w:type="pct"/>
            <w:tcBorders>
              <w:top w:val="nil"/>
              <w:left w:val="single" w:sz="4" w:space="0" w:color="auto"/>
              <w:bottom w:val="single" w:sz="4" w:space="0" w:color="auto"/>
              <w:right w:val="single" w:sz="4" w:space="0" w:color="auto"/>
            </w:tcBorders>
            <w:vAlign w:val="center"/>
          </w:tcPr>
          <w:p w14:paraId="14EE2F56" w14:textId="77777777" w:rsidR="00AF565C" w:rsidRPr="002B1C4F" w:rsidRDefault="00AF565C" w:rsidP="006251ED">
            <w:pPr>
              <w:spacing w:after="0" w:line="240" w:lineRule="auto"/>
              <w:jc w:val="center"/>
              <w:rPr>
                <w:rFonts w:ascii="Times New Roman" w:hAnsi="Times New Roman"/>
                <w:b/>
                <w:sz w:val="24"/>
                <w:szCs w:val="24"/>
              </w:rPr>
            </w:pPr>
            <w:r w:rsidRPr="002B1C4F">
              <w:rPr>
                <w:rFonts w:ascii="Times New Roman" w:hAnsi="Times New Roman"/>
                <w:b/>
                <w:sz w:val="24"/>
                <w:szCs w:val="24"/>
              </w:rPr>
              <w:t>7</w:t>
            </w:r>
          </w:p>
        </w:tc>
      </w:tr>
    </w:tbl>
    <w:p w14:paraId="18738942" w14:textId="77777777" w:rsidR="00446FC3" w:rsidRPr="00392248" w:rsidRDefault="00446FC3" w:rsidP="002B1C4F">
      <w:pPr>
        <w:spacing w:after="0" w:line="240" w:lineRule="auto"/>
        <w:jc w:val="both"/>
        <w:rPr>
          <w:rFonts w:ascii="Garamond" w:hAnsi="Garamond"/>
          <w:b/>
          <w:sz w:val="25"/>
          <w:szCs w:val="25"/>
          <w:highlight w:val="yellow"/>
        </w:rPr>
      </w:pPr>
    </w:p>
    <w:tbl>
      <w:tblPr>
        <w:tblpPr w:leftFromText="180" w:rightFromText="180" w:vertAnchor="text" w:horzAnchor="margin" w:tblpXSpec="center" w:tblpY="179"/>
        <w:tblW w:w="5000" w:type="pct"/>
        <w:tblLook w:val="04A0" w:firstRow="1" w:lastRow="0" w:firstColumn="1" w:lastColumn="0" w:noHBand="0" w:noVBand="1"/>
      </w:tblPr>
      <w:tblGrid>
        <w:gridCol w:w="5576"/>
        <w:gridCol w:w="1247"/>
        <w:gridCol w:w="1325"/>
        <w:gridCol w:w="1321"/>
        <w:gridCol w:w="1321"/>
      </w:tblGrid>
      <w:tr w:rsidR="00AF565C" w:rsidRPr="00392248" w14:paraId="5B1F3B6B" w14:textId="77777777" w:rsidTr="006251ED">
        <w:trPr>
          <w:trHeight w:val="350"/>
        </w:trPr>
        <w:tc>
          <w:tcPr>
            <w:tcW w:w="2583"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23657A20" w14:textId="77777777" w:rsidR="00AF565C" w:rsidRPr="002B1C4F" w:rsidRDefault="00AF565C" w:rsidP="006251ED">
            <w:pPr>
              <w:spacing w:after="0" w:line="240" w:lineRule="auto"/>
              <w:jc w:val="center"/>
              <w:rPr>
                <w:rFonts w:ascii="Times New Roman" w:hAnsi="Times New Roman"/>
                <w:b/>
                <w:bCs/>
                <w:sz w:val="28"/>
                <w:szCs w:val="24"/>
              </w:rPr>
            </w:pPr>
            <w:r w:rsidRPr="002B1C4F">
              <w:rPr>
                <w:rFonts w:ascii="Times New Roman" w:hAnsi="Times New Roman"/>
                <w:b/>
                <w:bCs/>
                <w:sz w:val="28"/>
                <w:szCs w:val="24"/>
              </w:rPr>
              <w:t>PREA Allegations of Client-on-Client</w:t>
            </w:r>
          </w:p>
        </w:tc>
        <w:tc>
          <w:tcPr>
            <w:tcW w:w="578" w:type="pct"/>
            <w:tcBorders>
              <w:top w:val="single" w:sz="4" w:space="0" w:color="auto"/>
              <w:left w:val="single" w:sz="4" w:space="0" w:color="auto"/>
              <w:bottom w:val="single" w:sz="4" w:space="0" w:color="auto"/>
              <w:right w:val="single" w:sz="4" w:space="0" w:color="auto"/>
            </w:tcBorders>
            <w:shd w:val="clear" w:color="auto" w:fill="A6A6A6"/>
            <w:vAlign w:val="center"/>
          </w:tcPr>
          <w:p w14:paraId="070AEC9A" w14:textId="77777777" w:rsidR="00AF565C" w:rsidRPr="002B1C4F" w:rsidRDefault="00AF565C" w:rsidP="006251ED">
            <w:pPr>
              <w:spacing w:after="0" w:line="240" w:lineRule="auto"/>
              <w:jc w:val="center"/>
              <w:rPr>
                <w:rFonts w:ascii="Times New Roman" w:hAnsi="Times New Roman"/>
                <w:b/>
                <w:sz w:val="28"/>
                <w:szCs w:val="24"/>
              </w:rPr>
            </w:pPr>
            <w:r w:rsidRPr="002B1C4F">
              <w:rPr>
                <w:rFonts w:ascii="Times New Roman" w:hAnsi="Times New Roman"/>
                <w:b/>
                <w:sz w:val="28"/>
                <w:szCs w:val="24"/>
              </w:rPr>
              <w:t>2021</w:t>
            </w:r>
          </w:p>
        </w:tc>
        <w:tc>
          <w:tcPr>
            <w:tcW w:w="614" w:type="pct"/>
            <w:tcBorders>
              <w:top w:val="single" w:sz="4" w:space="0" w:color="auto"/>
              <w:left w:val="single" w:sz="4" w:space="0" w:color="auto"/>
              <w:bottom w:val="single" w:sz="4" w:space="0" w:color="auto"/>
              <w:right w:val="single" w:sz="4" w:space="0" w:color="auto"/>
            </w:tcBorders>
            <w:shd w:val="clear" w:color="auto" w:fill="A6A6A6"/>
            <w:vAlign w:val="center"/>
          </w:tcPr>
          <w:p w14:paraId="492394A8" w14:textId="77777777" w:rsidR="00AF565C" w:rsidRPr="002B1C4F" w:rsidRDefault="00AF565C" w:rsidP="006251ED">
            <w:pPr>
              <w:spacing w:after="0" w:line="240" w:lineRule="auto"/>
              <w:jc w:val="center"/>
              <w:rPr>
                <w:rFonts w:ascii="Times New Roman" w:hAnsi="Times New Roman"/>
                <w:b/>
                <w:sz w:val="28"/>
                <w:szCs w:val="24"/>
              </w:rPr>
            </w:pPr>
            <w:r w:rsidRPr="002B1C4F">
              <w:rPr>
                <w:rFonts w:ascii="Times New Roman" w:hAnsi="Times New Roman"/>
                <w:b/>
                <w:sz w:val="28"/>
                <w:szCs w:val="24"/>
              </w:rPr>
              <w:t>2022</w:t>
            </w:r>
          </w:p>
        </w:tc>
        <w:tc>
          <w:tcPr>
            <w:tcW w:w="612" w:type="pct"/>
            <w:tcBorders>
              <w:top w:val="single" w:sz="4" w:space="0" w:color="auto"/>
              <w:left w:val="single" w:sz="4" w:space="0" w:color="auto"/>
              <w:bottom w:val="single" w:sz="4" w:space="0" w:color="auto"/>
              <w:right w:val="single" w:sz="4" w:space="0" w:color="auto"/>
            </w:tcBorders>
            <w:shd w:val="clear" w:color="auto" w:fill="A6A6A6"/>
            <w:vAlign w:val="center"/>
          </w:tcPr>
          <w:p w14:paraId="750ABA29" w14:textId="77777777" w:rsidR="00AF565C" w:rsidRPr="002B1C4F" w:rsidRDefault="00AF565C" w:rsidP="006251ED">
            <w:pPr>
              <w:spacing w:after="0" w:line="240" w:lineRule="auto"/>
              <w:jc w:val="center"/>
              <w:rPr>
                <w:rFonts w:ascii="Times New Roman" w:hAnsi="Times New Roman"/>
                <w:b/>
                <w:sz w:val="28"/>
                <w:szCs w:val="24"/>
              </w:rPr>
            </w:pPr>
            <w:r w:rsidRPr="002B1C4F">
              <w:rPr>
                <w:rFonts w:ascii="Times New Roman" w:hAnsi="Times New Roman"/>
                <w:b/>
                <w:sz w:val="28"/>
                <w:szCs w:val="24"/>
              </w:rPr>
              <w:t>2023</w:t>
            </w:r>
          </w:p>
        </w:tc>
        <w:tc>
          <w:tcPr>
            <w:tcW w:w="612" w:type="pct"/>
            <w:tcBorders>
              <w:top w:val="single" w:sz="4" w:space="0" w:color="auto"/>
              <w:left w:val="single" w:sz="4" w:space="0" w:color="auto"/>
              <w:bottom w:val="single" w:sz="4" w:space="0" w:color="auto"/>
              <w:right w:val="single" w:sz="4" w:space="0" w:color="auto"/>
            </w:tcBorders>
            <w:shd w:val="clear" w:color="auto" w:fill="A6A6A6"/>
            <w:vAlign w:val="center"/>
          </w:tcPr>
          <w:p w14:paraId="37949B86" w14:textId="00A9BCBE" w:rsidR="00AF565C" w:rsidRPr="002B1C4F" w:rsidRDefault="002B1C4F" w:rsidP="006251ED">
            <w:pPr>
              <w:spacing w:after="0" w:line="240" w:lineRule="auto"/>
              <w:jc w:val="center"/>
              <w:rPr>
                <w:rFonts w:ascii="Times New Roman" w:hAnsi="Times New Roman"/>
                <w:b/>
                <w:sz w:val="28"/>
                <w:szCs w:val="24"/>
                <w:highlight w:val="yellow"/>
              </w:rPr>
            </w:pPr>
            <w:r w:rsidRPr="002B1C4F">
              <w:rPr>
                <w:rFonts w:ascii="Times New Roman" w:hAnsi="Times New Roman"/>
                <w:b/>
                <w:sz w:val="28"/>
                <w:szCs w:val="24"/>
              </w:rPr>
              <w:t>2</w:t>
            </w:r>
            <w:r w:rsidR="00AF565C" w:rsidRPr="002B1C4F">
              <w:rPr>
                <w:rFonts w:ascii="Times New Roman" w:hAnsi="Times New Roman"/>
                <w:b/>
                <w:sz w:val="28"/>
                <w:szCs w:val="24"/>
              </w:rPr>
              <w:t>024</w:t>
            </w:r>
          </w:p>
        </w:tc>
      </w:tr>
      <w:tr w:rsidR="00AF565C" w:rsidRPr="00392248" w14:paraId="6FB015E8" w14:textId="77777777" w:rsidTr="002B1C4F">
        <w:trPr>
          <w:trHeight w:val="257"/>
        </w:trPr>
        <w:tc>
          <w:tcPr>
            <w:tcW w:w="2583" w:type="pct"/>
            <w:tcBorders>
              <w:top w:val="nil"/>
              <w:left w:val="single" w:sz="4" w:space="0" w:color="auto"/>
              <w:bottom w:val="single" w:sz="4" w:space="0" w:color="auto"/>
              <w:right w:val="single" w:sz="4" w:space="0" w:color="auto"/>
            </w:tcBorders>
            <w:shd w:val="clear" w:color="auto" w:fill="auto"/>
            <w:noWrap/>
            <w:vAlign w:val="bottom"/>
          </w:tcPr>
          <w:p w14:paraId="58376C9C" w14:textId="77777777" w:rsidR="00AF565C" w:rsidRPr="002B1C4F" w:rsidRDefault="00AF565C" w:rsidP="002B1C4F">
            <w:pPr>
              <w:spacing w:after="0" w:line="240" w:lineRule="auto"/>
              <w:jc w:val="both"/>
              <w:rPr>
                <w:rFonts w:ascii="Times New Roman" w:hAnsi="Times New Roman"/>
                <w:b/>
                <w:sz w:val="24"/>
                <w:szCs w:val="24"/>
              </w:rPr>
            </w:pPr>
            <w:r w:rsidRPr="002B1C4F">
              <w:rPr>
                <w:rFonts w:ascii="Times New Roman" w:hAnsi="Times New Roman"/>
                <w:b/>
                <w:sz w:val="24"/>
                <w:szCs w:val="24"/>
              </w:rPr>
              <w:t>Substantiated</w:t>
            </w:r>
          </w:p>
        </w:tc>
        <w:tc>
          <w:tcPr>
            <w:tcW w:w="578" w:type="pct"/>
            <w:tcBorders>
              <w:top w:val="nil"/>
              <w:left w:val="single" w:sz="4" w:space="0" w:color="auto"/>
              <w:bottom w:val="single" w:sz="4" w:space="0" w:color="auto"/>
              <w:right w:val="single" w:sz="4" w:space="0" w:color="auto"/>
            </w:tcBorders>
            <w:vAlign w:val="bottom"/>
          </w:tcPr>
          <w:p w14:paraId="614E765C" w14:textId="77777777" w:rsidR="00AF565C" w:rsidRPr="002B1C4F" w:rsidRDefault="00AF565C" w:rsidP="002B1C4F">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4" w:type="pct"/>
            <w:tcBorders>
              <w:top w:val="nil"/>
              <w:left w:val="single" w:sz="4" w:space="0" w:color="auto"/>
              <w:bottom w:val="single" w:sz="4" w:space="0" w:color="auto"/>
              <w:right w:val="single" w:sz="4" w:space="0" w:color="auto"/>
            </w:tcBorders>
            <w:vAlign w:val="bottom"/>
          </w:tcPr>
          <w:p w14:paraId="1A1F9186" w14:textId="77777777" w:rsidR="00AF565C" w:rsidRPr="002B1C4F" w:rsidRDefault="00AF565C" w:rsidP="002B1C4F">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2" w:type="pct"/>
            <w:tcBorders>
              <w:top w:val="nil"/>
              <w:left w:val="single" w:sz="4" w:space="0" w:color="auto"/>
              <w:bottom w:val="single" w:sz="4" w:space="0" w:color="auto"/>
              <w:right w:val="single" w:sz="4" w:space="0" w:color="auto"/>
            </w:tcBorders>
          </w:tcPr>
          <w:p w14:paraId="481E7CF3" w14:textId="77777777" w:rsidR="00AF565C" w:rsidRPr="002B1C4F" w:rsidRDefault="00AF565C" w:rsidP="002B1C4F">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2" w:type="pct"/>
            <w:tcBorders>
              <w:top w:val="nil"/>
              <w:left w:val="single" w:sz="4" w:space="0" w:color="auto"/>
              <w:bottom w:val="single" w:sz="4" w:space="0" w:color="auto"/>
              <w:right w:val="single" w:sz="4" w:space="0" w:color="auto"/>
            </w:tcBorders>
          </w:tcPr>
          <w:p w14:paraId="54AC43C1" w14:textId="77777777" w:rsidR="00AF565C" w:rsidRPr="002B1C4F" w:rsidRDefault="00AF565C" w:rsidP="002B1C4F">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r>
      <w:tr w:rsidR="00AF565C" w:rsidRPr="00392248" w14:paraId="513E6156" w14:textId="77777777" w:rsidTr="002B1C4F">
        <w:trPr>
          <w:trHeight w:val="300"/>
        </w:trPr>
        <w:tc>
          <w:tcPr>
            <w:tcW w:w="2583" w:type="pct"/>
            <w:tcBorders>
              <w:top w:val="nil"/>
              <w:left w:val="single" w:sz="4" w:space="0" w:color="auto"/>
              <w:bottom w:val="single" w:sz="4" w:space="0" w:color="auto"/>
              <w:right w:val="single" w:sz="4" w:space="0" w:color="auto"/>
            </w:tcBorders>
            <w:shd w:val="clear" w:color="auto" w:fill="auto"/>
            <w:noWrap/>
            <w:vAlign w:val="bottom"/>
          </w:tcPr>
          <w:p w14:paraId="51455A78" w14:textId="77777777" w:rsidR="00AF565C" w:rsidRPr="002B1C4F" w:rsidRDefault="00AF565C" w:rsidP="002B1C4F">
            <w:pPr>
              <w:spacing w:after="0" w:line="240" w:lineRule="auto"/>
              <w:jc w:val="both"/>
              <w:rPr>
                <w:rFonts w:ascii="Times New Roman" w:hAnsi="Times New Roman"/>
                <w:b/>
                <w:sz w:val="24"/>
                <w:szCs w:val="24"/>
              </w:rPr>
            </w:pPr>
            <w:r w:rsidRPr="002B1C4F">
              <w:rPr>
                <w:rFonts w:ascii="Times New Roman" w:hAnsi="Times New Roman"/>
                <w:b/>
                <w:sz w:val="24"/>
                <w:szCs w:val="24"/>
              </w:rPr>
              <w:t>Unsubstantiated</w:t>
            </w:r>
          </w:p>
        </w:tc>
        <w:tc>
          <w:tcPr>
            <w:tcW w:w="578" w:type="pct"/>
            <w:tcBorders>
              <w:top w:val="nil"/>
              <w:left w:val="single" w:sz="4" w:space="0" w:color="auto"/>
              <w:bottom w:val="single" w:sz="4" w:space="0" w:color="auto"/>
              <w:right w:val="single" w:sz="4" w:space="0" w:color="auto"/>
            </w:tcBorders>
            <w:vAlign w:val="bottom"/>
          </w:tcPr>
          <w:p w14:paraId="6CAC8ABA" w14:textId="77777777" w:rsidR="00AF565C" w:rsidRPr="002B1C4F" w:rsidRDefault="00AF565C" w:rsidP="002B1C4F">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4" w:type="pct"/>
            <w:tcBorders>
              <w:top w:val="nil"/>
              <w:left w:val="single" w:sz="4" w:space="0" w:color="auto"/>
              <w:bottom w:val="single" w:sz="4" w:space="0" w:color="auto"/>
              <w:right w:val="single" w:sz="4" w:space="0" w:color="auto"/>
            </w:tcBorders>
            <w:vAlign w:val="bottom"/>
          </w:tcPr>
          <w:p w14:paraId="3252F94F" w14:textId="77777777" w:rsidR="00AF565C" w:rsidRPr="002B1C4F" w:rsidRDefault="00AF565C" w:rsidP="002B1C4F">
            <w:pPr>
              <w:spacing w:after="0" w:line="240" w:lineRule="auto"/>
              <w:jc w:val="center"/>
              <w:rPr>
                <w:rFonts w:ascii="Times New Roman" w:hAnsi="Times New Roman"/>
                <w:b/>
                <w:sz w:val="24"/>
                <w:szCs w:val="24"/>
              </w:rPr>
            </w:pPr>
            <w:r w:rsidRPr="002B1C4F">
              <w:rPr>
                <w:rFonts w:ascii="Times New Roman" w:hAnsi="Times New Roman"/>
                <w:b/>
                <w:sz w:val="24"/>
                <w:szCs w:val="24"/>
              </w:rPr>
              <w:t>1</w:t>
            </w:r>
          </w:p>
        </w:tc>
        <w:tc>
          <w:tcPr>
            <w:tcW w:w="612" w:type="pct"/>
            <w:tcBorders>
              <w:top w:val="nil"/>
              <w:left w:val="single" w:sz="4" w:space="0" w:color="auto"/>
              <w:bottom w:val="single" w:sz="4" w:space="0" w:color="auto"/>
              <w:right w:val="single" w:sz="4" w:space="0" w:color="auto"/>
            </w:tcBorders>
          </w:tcPr>
          <w:p w14:paraId="3433095E" w14:textId="77777777" w:rsidR="00AF565C" w:rsidRPr="002B1C4F" w:rsidRDefault="00AF565C" w:rsidP="002B1C4F">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2" w:type="pct"/>
            <w:tcBorders>
              <w:top w:val="nil"/>
              <w:left w:val="single" w:sz="4" w:space="0" w:color="auto"/>
              <w:bottom w:val="single" w:sz="4" w:space="0" w:color="auto"/>
              <w:right w:val="single" w:sz="4" w:space="0" w:color="auto"/>
            </w:tcBorders>
          </w:tcPr>
          <w:p w14:paraId="24FB216F" w14:textId="77777777" w:rsidR="00AF565C" w:rsidRPr="002B1C4F" w:rsidRDefault="00AF565C" w:rsidP="002B1C4F">
            <w:pPr>
              <w:spacing w:after="0" w:line="240" w:lineRule="auto"/>
              <w:jc w:val="center"/>
              <w:rPr>
                <w:rFonts w:ascii="Times New Roman" w:hAnsi="Times New Roman"/>
                <w:b/>
                <w:sz w:val="24"/>
                <w:szCs w:val="24"/>
              </w:rPr>
            </w:pPr>
            <w:r w:rsidRPr="002B1C4F">
              <w:rPr>
                <w:rFonts w:ascii="Times New Roman" w:hAnsi="Times New Roman"/>
                <w:b/>
                <w:sz w:val="24"/>
                <w:szCs w:val="24"/>
              </w:rPr>
              <w:t>3</w:t>
            </w:r>
          </w:p>
        </w:tc>
      </w:tr>
      <w:tr w:rsidR="00AF565C" w:rsidRPr="00392248" w14:paraId="40F9FFE2" w14:textId="77777777" w:rsidTr="002B1C4F">
        <w:trPr>
          <w:trHeight w:val="300"/>
        </w:trPr>
        <w:tc>
          <w:tcPr>
            <w:tcW w:w="2583" w:type="pct"/>
            <w:tcBorders>
              <w:top w:val="nil"/>
              <w:left w:val="single" w:sz="4" w:space="0" w:color="auto"/>
              <w:bottom w:val="single" w:sz="4" w:space="0" w:color="auto"/>
              <w:right w:val="single" w:sz="4" w:space="0" w:color="auto"/>
            </w:tcBorders>
            <w:shd w:val="clear" w:color="auto" w:fill="auto"/>
            <w:noWrap/>
            <w:vAlign w:val="bottom"/>
          </w:tcPr>
          <w:p w14:paraId="6128FB0E" w14:textId="77777777" w:rsidR="00AF565C" w:rsidRPr="002B1C4F" w:rsidRDefault="00AF565C" w:rsidP="002B1C4F">
            <w:pPr>
              <w:spacing w:after="0" w:line="240" w:lineRule="auto"/>
              <w:jc w:val="both"/>
              <w:rPr>
                <w:rFonts w:ascii="Times New Roman" w:hAnsi="Times New Roman"/>
                <w:b/>
                <w:sz w:val="24"/>
                <w:szCs w:val="24"/>
              </w:rPr>
            </w:pPr>
            <w:r w:rsidRPr="002B1C4F">
              <w:rPr>
                <w:rFonts w:ascii="Times New Roman" w:hAnsi="Times New Roman"/>
                <w:b/>
                <w:sz w:val="24"/>
                <w:szCs w:val="24"/>
              </w:rPr>
              <w:t>Unfounded</w:t>
            </w:r>
          </w:p>
        </w:tc>
        <w:tc>
          <w:tcPr>
            <w:tcW w:w="578" w:type="pct"/>
            <w:tcBorders>
              <w:top w:val="nil"/>
              <w:left w:val="single" w:sz="4" w:space="0" w:color="auto"/>
              <w:bottom w:val="single" w:sz="4" w:space="0" w:color="auto"/>
              <w:right w:val="single" w:sz="4" w:space="0" w:color="auto"/>
            </w:tcBorders>
            <w:vAlign w:val="bottom"/>
          </w:tcPr>
          <w:p w14:paraId="7C34279E" w14:textId="77777777" w:rsidR="00AF565C" w:rsidRPr="002B1C4F" w:rsidRDefault="00AF565C" w:rsidP="002B1C4F">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4" w:type="pct"/>
            <w:tcBorders>
              <w:top w:val="nil"/>
              <w:left w:val="single" w:sz="4" w:space="0" w:color="auto"/>
              <w:bottom w:val="single" w:sz="4" w:space="0" w:color="auto"/>
              <w:right w:val="single" w:sz="4" w:space="0" w:color="auto"/>
            </w:tcBorders>
            <w:vAlign w:val="bottom"/>
          </w:tcPr>
          <w:p w14:paraId="77E0C8F0" w14:textId="77777777" w:rsidR="00AF565C" w:rsidRPr="002B1C4F" w:rsidRDefault="00AF565C" w:rsidP="002B1C4F">
            <w:pPr>
              <w:spacing w:after="0" w:line="240" w:lineRule="auto"/>
              <w:jc w:val="center"/>
              <w:rPr>
                <w:rFonts w:ascii="Times New Roman" w:hAnsi="Times New Roman"/>
                <w:b/>
                <w:sz w:val="24"/>
                <w:szCs w:val="24"/>
              </w:rPr>
            </w:pPr>
            <w:r w:rsidRPr="002B1C4F">
              <w:rPr>
                <w:rFonts w:ascii="Times New Roman" w:hAnsi="Times New Roman"/>
                <w:b/>
                <w:sz w:val="24"/>
                <w:szCs w:val="24"/>
              </w:rPr>
              <w:t>1</w:t>
            </w:r>
          </w:p>
        </w:tc>
        <w:tc>
          <w:tcPr>
            <w:tcW w:w="612" w:type="pct"/>
            <w:tcBorders>
              <w:top w:val="nil"/>
              <w:left w:val="single" w:sz="4" w:space="0" w:color="auto"/>
              <w:bottom w:val="single" w:sz="4" w:space="0" w:color="auto"/>
              <w:right w:val="single" w:sz="4" w:space="0" w:color="auto"/>
            </w:tcBorders>
          </w:tcPr>
          <w:p w14:paraId="058998CD" w14:textId="77777777" w:rsidR="00AF565C" w:rsidRPr="002B1C4F" w:rsidRDefault="00AF565C" w:rsidP="002B1C4F">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2" w:type="pct"/>
            <w:tcBorders>
              <w:top w:val="nil"/>
              <w:left w:val="single" w:sz="4" w:space="0" w:color="auto"/>
              <w:bottom w:val="single" w:sz="4" w:space="0" w:color="auto"/>
              <w:right w:val="single" w:sz="4" w:space="0" w:color="auto"/>
            </w:tcBorders>
          </w:tcPr>
          <w:p w14:paraId="0AB79C76" w14:textId="77777777" w:rsidR="00AF565C" w:rsidRPr="002B1C4F" w:rsidRDefault="00AF565C" w:rsidP="002B1C4F">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r>
      <w:tr w:rsidR="00AF565C" w:rsidRPr="00392248" w14:paraId="78FED0D8" w14:textId="77777777" w:rsidTr="002B1C4F">
        <w:trPr>
          <w:trHeight w:val="300"/>
        </w:trPr>
        <w:tc>
          <w:tcPr>
            <w:tcW w:w="2583" w:type="pct"/>
            <w:tcBorders>
              <w:top w:val="nil"/>
              <w:left w:val="single" w:sz="4" w:space="0" w:color="auto"/>
              <w:bottom w:val="single" w:sz="4" w:space="0" w:color="auto"/>
              <w:right w:val="single" w:sz="4" w:space="0" w:color="auto"/>
            </w:tcBorders>
            <w:shd w:val="clear" w:color="auto" w:fill="auto"/>
            <w:noWrap/>
            <w:vAlign w:val="bottom"/>
          </w:tcPr>
          <w:p w14:paraId="51DA509A" w14:textId="77777777" w:rsidR="00AF565C" w:rsidRPr="002B1C4F" w:rsidRDefault="00AF565C" w:rsidP="002B1C4F">
            <w:pPr>
              <w:spacing w:after="0" w:line="240" w:lineRule="auto"/>
              <w:jc w:val="both"/>
              <w:rPr>
                <w:rFonts w:ascii="Times New Roman" w:hAnsi="Times New Roman"/>
                <w:b/>
                <w:sz w:val="24"/>
                <w:szCs w:val="24"/>
              </w:rPr>
            </w:pPr>
            <w:r w:rsidRPr="002B1C4F">
              <w:rPr>
                <w:rFonts w:ascii="Times New Roman" w:hAnsi="Times New Roman"/>
                <w:b/>
                <w:sz w:val="24"/>
                <w:szCs w:val="24"/>
              </w:rPr>
              <w:t>Investigation Ongoing</w:t>
            </w:r>
          </w:p>
        </w:tc>
        <w:tc>
          <w:tcPr>
            <w:tcW w:w="578" w:type="pct"/>
            <w:tcBorders>
              <w:top w:val="nil"/>
              <w:left w:val="single" w:sz="4" w:space="0" w:color="auto"/>
              <w:bottom w:val="single" w:sz="4" w:space="0" w:color="auto"/>
              <w:right w:val="single" w:sz="4" w:space="0" w:color="auto"/>
            </w:tcBorders>
            <w:vAlign w:val="bottom"/>
          </w:tcPr>
          <w:p w14:paraId="3F52F312" w14:textId="77777777" w:rsidR="00AF565C" w:rsidRPr="002B1C4F" w:rsidRDefault="00AF565C" w:rsidP="002B1C4F">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4" w:type="pct"/>
            <w:tcBorders>
              <w:top w:val="nil"/>
              <w:left w:val="single" w:sz="4" w:space="0" w:color="auto"/>
              <w:bottom w:val="single" w:sz="4" w:space="0" w:color="auto"/>
              <w:right w:val="single" w:sz="4" w:space="0" w:color="auto"/>
            </w:tcBorders>
            <w:vAlign w:val="bottom"/>
          </w:tcPr>
          <w:p w14:paraId="6C43CC2F" w14:textId="77777777" w:rsidR="00AF565C" w:rsidRPr="002B1C4F" w:rsidRDefault="00AF565C" w:rsidP="002B1C4F">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2" w:type="pct"/>
            <w:tcBorders>
              <w:top w:val="nil"/>
              <w:left w:val="single" w:sz="4" w:space="0" w:color="auto"/>
              <w:bottom w:val="single" w:sz="4" w:space="0" w:color="auto"/>
              <w:right w:val="single" w:sz="4" w:space="0" w:color="auto"/>
            </w:tcBorders>
          </w:tcPr>
          <w:p w14:paraId="7FFD0E52" w14:textId="77777777" w:rsidR="00AF565C" w:rsidRPr="002B1C4F" w:rsidRDefault="00AF565C" w:rsidP="002B1C4F">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2" w:type="pct"/>
            <w:tcBorders>
              <w:top w:val="nil"/>
              <w:left w:val="single" w:sz="4" w:space="0" w:color="auto"/>
              <w:bottom w:val="single" w:sz="4" w:space="0" w:color="auto"/>
              <w:right w:val="single" w:sz="4" w:space="0" w:color="auto"/>
            </w:tcBorders>
          </w:tcPr>
          <w:p w14:paraId="2A1B6BAF" w14:textId="77777777" w:rsidR="00AF565C" w:rsidRPr="002B1C4F" w:rsidRDefault="00AF565C" w:rsidP="002B1C4F">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r>
      <w:tr w:rsidR="00AF565C" w:rsidRPr="00392248" w14:paraId="3724B670" w14:textId="77777777" w:rsidTr="002B1C4F">
        <w:trPr>
          <w:trHeight w:val="300"/>
        </w:trPr>
        <w:tc>
          <w:tcPr>
            <w:tcW w:w="2583" w:type="pct"/>
            <w:tcBorders>
              <w:top w:val="nil"/>
              <w:left w:val="single" w:sz="4" w:space="0" w:color="auto"/>
              <w:bottom w:val="single" w:sz="4" w:space="0" w:color="auto"/>
              <w:right w:val="single" w:sz="4" w:space="0" w:color="auto"/>
            </w:tcBorders>
            <w:shd w:val="clear" w:color="auto" w:fill="auto"/>
            <w:noWrap/>
            <w:vAlign w:val="bottom"/>
          </w:tcPr>
          <w:p w14:paraId="629ED81E" w14:textId="77777777" w:rsidR="00AF565C" w:rsidRPr="002B1C4F" w:rsidRDefault="00AF565C" w:rsidP="002B1C4F">
            <w:pPr>
              <w:spacing w:after="0" w:line="240" w:lineRule="auto"/>
              <w:jc w:val="both"/>
              <w:rPr>
                <w:rFonts w:ascii="Times New Roman" w:hAnsi="Times New Roman"/>
                <w:b/>
                <w:sz w:val="24"/>
                <w:szCs w:val="24"/>
              </w:rPr>
            </w:pPr>
            <w:r w:rsidRPr="002B1C4F">
              <w:rPr>
                <w:rFonts w:ascii="Times New Roman" w:hAnsi="Times New Roman"/>
                <w:b/>
                <w:sz w:val="24"/>
                <w:szCs w:val="24"/>
              </w:rPr>
              <w:t>Total</w:t>
            </w:r>
          </w:p>
        </w:tc>
        <w:tc>
          <w:tcPr>
            <w:tcW w:w="578" w:type="pct"/>
            <w:tcBorders>
              <w:top w:val="nil"/>
              <w:left w:val="single" w:sz="4" w:space="0" w:color="auto"/>
              <w:bottom w:val="single" w:sz="4" w:space="0" w:color="auto"/>
              <w:right w:val="single" w:sz="4" w:space="0" w:color="auto"/>
            </w:tcBorders>
            <w:vAlign w:val="bottom"/>
          </w:tcPr>
          <w:p w14:paraId="02D5D53D" w14:textId="77777777" w:rsidR="00AF565C" w:rsidRPr="002B1C4F" w:rsidRDefault="00AF565C" w:rsidP="002B1C4F">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4" w:type="pct"/>
            <w:tcBorders>
              <w:top w:val="nil"/>
              <w:left w:val="single" w:sz="4" w:space="0" w:color="auto"/>
              <w:bottom w:val="single" w:sz="4" w:space="0" w:color="auto"/>
              <w:right w:val="single" w:sz="4" w:space="0" w:color="auto"/>
            </w:tcBorders>
            <w:vAlign w:val="bottom"/>
          </w:tcPr>
          <w:p w14:paraId="60622C92" w14:textId="77777777" w:rsidR="00AF565C" w:rsidRPr="002B1C4F" w:rsidRDefault="00AF565C" w:rsidP="002B1C4F">
            <w:pPr>
              <w:spacing w:after="0" w:line="240" w:lineRule="auto"/>
              <w:jc w:val="center"/>
              <w:rPr>
                <w:rFonts w:ascii="Times New Roman" w:hAnsi="Times New Roman"/>
                <w:b/>
                <w:sz w:val="24"/>
                <w:szCs w:val="24"/>
              </w:rPr>
            </w:pPr>
            <w:r w:rsidRPr="002B1C4F">
              <w:rPr>
                <w:rFonts w:ascii="Times New Roman" w:hAnsi="Times New Roman"/>
                <w:b/>
                <w:sz w:val="24"/>
                <w:szCs w:val="24"/>
              </w:rPr>
              <w:t>2</w:t>
            </w:r>
          </w:p>
        </w:tc>
        <w:tc>
          <w:tcPr>
            <w:tcW w:w="612" w:type="pct"/>
            <w:tcBorders>
              <w:top w:val="nil"/>
              <w:left w:val="single" w:sz="4" w:space="0" w:color="auto"/>
              <w:bottom w:val="single" w:sz="4" w:space="0" w:color="auto"/>
              <w:right w:val="single" w:sz="4" w:space="0" w:color="auto"/>
            </w:tcBorders>
          </w:tcPr>
          <w:p w14:paraId="3154CBB6" w14:textId="77777777" w:rsidR="00AF565C" w:rsidRPr="002B1C4F" w:rsidRDefault="00AF565C" w:rsidP="002B1C4F">
            <w:pPr>
              <w:spacing w:after="0" w:line="240" w:lineRule="auto"/>
              <w:jc w:val="center"/>
              <w:rPr>
                <w:rFonts w:ascii="Times New Roman" w:hAnsi="Times New Roman"/>
                <w:b/>
                <w:sz w:val="24"/>
                <w:szCs w:val="24"/>
              </w:rPr>
            </w:pPr>
            <w:r w:rsidRPr="002B1C4F">
              <w:rPr>
                <w:rFonts w:ascii="Times New Roman" w:hAnsi="Times New Roman"/>
                <w:b/>
                <w:sz w:val="24"/>
                <w:szCs w:val="24"/>
              </w:rPr>
              <w:t>0</w:t>
            </w:r>
          </w:p>
        </w:tc>
        <w:tc>
          <w:tcPr>
            <w:tcW w:w="612" w:type="pct"/>
            <w:tcBorders>
              <w:top w:val="nil"/>
              <w:left w:val="single" w:sz="4" w:space="0" w:color="auto"/>
              <w:bottom w:val="single" w:sz="4" w:space="0" w:color="auto"/>
              <w:right w:val="single" w:sz="4" w:space="0" w:color="auto"/>
            </w:tcBorders>
          </w:tcPr>
          <w:p w14:paraId="1D17DA77" w14:textId="77777777" w:rsidR="00AF565C" w:rsidRPr="002B1C4F" w:rsidRDefault="00AF565C" w:rsidP="002B1C4F">
            <w:pPr>
              <w:spacing w:after="0" w:line="240" w:lineRule="auto"/>
              <w:jc w:val="center"/>
              <w:rPr>
                <w:rFonts w:ascii="Times New Roman" w:hAnsi="Times New Roman"/>
                <w:b/>
                <w:sz w:val="24"/>
                <w:szCs w:val="24"/>
              </w:rPr>
            </w:pPr>
            <w:r w:rsidRPr="002B1C4F">
              <w:rPr>
                <w:rFonts w:ascii="Times New Roman" w:hAnsi="Times New Roman"/>
                <w:b/>
                <w:sz w:val="24"/>
                <w:szCs w:val="24"/>
              </w:rPr>
              <w:t>3</w:t>
            </w:r>
          </w:p>
        </w:tc>
      </w:tr>
    </w:tbl>
    <w:p w14:paraId="1677AACD" w14:textId="77777777" w:rsidR="009B7496" w:rsidRPr="00392248" w:rsidRDefault="009B7496" w:rsidP="00392248">
      <w:pPr>
        <w:spacing w:line="360" w:lineRule="auto"/>
        <w:jc w:val="both"/>
        <w:rPr>
          <w:rFonts w:ascii="Garamond" w:hAnsi="Garamond"/>
          <w:b/>
          <w:sz w:val="20"/>
          <w:szCs w:val="20"/>
          <w:highlight w:val="yellow"/>
        </w:rPr>
      </w:pPr>
    </w:p>
    <w:p w14:paraId="07E03239" w14:textId="77777777" w:rsidR="009B7496" w:rsidRPr="00392248" w:rsidRDefault="009B7496" w:rsidP="00392248">
      <w:pPr>
        <w:spacing w:line="360" w:lineRule="auto"/>
        <w:jc w:val="both"/>
        <w:rPr>
          <w:rFonts w:ascii="Garamond" w:hAnsi="Garamond"/>
          <w:b/>
          <w:sz w:val="20"/>
          <w:szCs w:val="20"/>
          <w:highlight w:val="yellow"/>
        </w:rPr>
      </w:pPr>
    </w:p>
    <w:p w14:paraId="5693D8A3" w14:textId="3763D377" w:rsidR="00472C60" w:rsidRPr="002B1C4F" w:rsidRDefault="006251ED" w:rsidP="002B1C4F">
      <w:pPr>
        <w:spacing w:line="240" w:lineRule="auto"/>
        <w:jc w:val="center"/>
        <w:rPr>
          <w:rFonts w:ascii="Times New Roman" w:hAnsi="Times New Roman"/>
          <w:b/>
          <w:sz w:val="28"/>
          <w:szCs w:val="24"/>
        </w:rPr>
      </w:pPr>
      <w:r>
        <w:rPr>
          <w:rFonts w:ascii="Times New Roman" w:hAnsi="Times New Roman"/>
          <w:b/>
          <w:sz w:val="28"/>
          <w:szCs w:val="24"/>
        </w:rPr>
        <w:lastRenderedPageBreak/>
        <w:t>J</w:t>
      </w:r>
      <w:r w:rsidR="00472C60" w:rsidRPr="002B1C4F">
        <w:rPr>
          <w:rFonts w:ascii="Times New Roman" w:hAnsi="Times New Roman"/>
          <w:b/>
          <w:sz w:val="28"/>
          <w:szCs w:val="24"/>
        </w:rPr>
        <w:t>uvenile Residentia</w:t>
      </w:r>
      <w:r w:rsidR="00FE19D2" w:rsidRPr="002B1C4F">
        <w:rPr>
          <w:rFonts w:ascii="Times New Roman" w:hAnsi="Times New Roman"/>
          <w:b/>
          <w:sz w:val="28"/>
          <w:szCs w:val="24"/>
        </w:rPr>
        <w:t>l Facility</w:t>
      </w:r>
    </w:p>
    <w:tbl>
      <w:tblPr>
        <w:tblpPr w:leftFromText="180" w:rightFromText="180" w:vertAnchor="text" w:horzAnchor="margin" w:tblpXSpec="center" w:tblpY="179"/>
        <w:tblW w:w="5000" w:type="pct"/>
        <w:tblLook w:val="04A0" w:firstRow="1" w:lastRow="0" w:firstColumn="1" w:lastColumn="0" w:noHBand="0" w:noVBand="1"/>
      </w:tblPr>
      <w:tblGrid>
        <w:gridCol w:w="5494"/>
        <w:gridCol w:w="1325"/>
        <w:gridCol w:w="1325"/>
        <w:gridCol w:w="1323"/>
        <w:gridCol w:w="1323"/>
      </w:tblGrid>
      <w:tr w:rsidR="006015EE" w:rsidRPr="002B1C4F" w14:paraId="1DCBF4D4" w14:textId="77777777" w:rsidTr="006251ED">
        <w:trPr>
          <w:trHeight w:val="440"/>
        </w:trPr>
        <w:tc>
          <w:tcPr>
            <w:tcW w:w="2546"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00EABDC9" w14:textId="3A00B219" w:rsidR="006015EE" w:rsidRPr="006251ED" w:rsidRDefault="006015EE" w:rsidP="006251ED">
            <w:pPr>
              <w:spacing w:after="0" w:line="240" w:lineRule="auto"/>
              <w:jc w:val="center"/>
              <w:rPr>
                <w:rFonts w:ascii="Times New Roman" w:hAnsi="Times New Roman"/>
                <w:b/>
                <w:bCs/>
                <w:sz w:val="28"/>
                <w:szCs w:val="24"/>
              </w:rPr>
            </w:pPr>
            <w:r w:rsidRPr="006251ED">
              <w:rPr>
                <w:rFonts w:ascii="Times New Roman" w:hAnsi="Times New Roman"/>
                <w:b/>
                <w:bCs/>
                <w:sz w:val="28"/>
                <w:szCs w:val="24"/>
              </w:rPr>
              <w:t>PREA Allegations of Staff-on-Client</w:t>
            </w:r>
          </w:p>
        </w:tc>
        <w:tc>
          <w:tcPr>
            <w:tcW w:w="614" w:type="pct"/>
            <w:tcBorders>
              <w:top w:val="single" w:sz="4" w:space="0" w:color="auto"/>
              <w:left w:val="single" w:sz="4" w:space="0" w:color="auto"/>
              <w:bottom w:val="single" w:sz="4" w:space="0" w:color="auto"/>
              <w:right w:val="single" w:sz="4" w:space="0" w:color="auto"/>
            </w:tcBorders>
            <w:shd w:val="clear" w:color="auto" w:fill="A6A6A6"/>
            <w:vAlign w:val="center"/>
          </w:tcPr>
          <w:p w14:paraId="487F6FF5" w14:textId="77777777" w:rsidR="006015EE" w:rsidRPr="006251ED" w:rsidRDefault="006015EE" w:rsidP="006251ED">
            <w:pPr>
              <w:spacing w:after="0" w:line="240" w:lineRule="auto"/>
              <w:jc w:val="center"/>
              <w:rPr>
                <w:rFonts w:ascii="Times New Roman" w:hAnsi="Times New Roman"/>
                <w:b/>
                <w:sz w:val="28"/>
                <w:szCs w:val="24"/>
              </w:rPr>
            </w:pPr>
            <w:r w:rsidRPr="006251ED">
              <w:rPr>
                <w:rFonts w:ascii="Times New Roman" w:hAnsi="Times New Roman"/>
                <w:b/>
                <w:sz w:val="28"/>
                <w:szCs w:val="24"/>
              </w:rPr>
              <w:t>2021</w:t>
            </w:r>
          </w:p>
        </w:tc>
        <w:tc>
          <w:tcPr>
            <w:tcW w:w="614" w:type="pct"/>
            <w:tcBorders>
              <w:top w:val="single" w:sz="4" w:space="0" w:color="auto"/>
              <w:left w:val="single" w:sz="4" w:space="0" w:color="auto"/>
              <w:bottom w:val="single" w:sz="4" w:space="0" w:color="auto"/>
              <w:right w:val="single" w:sz="4" w:space="0" w:color="auto"/>
            </w:tcBorders>
            <w:shd w:val="clear" w:color="auto" w:fill="A6A6A6"/>
            <w:vAlign w:val="center"/>
          </w:tcPr>
          <w:p w14:paraId="5BF6DCB9" w14:textId="77777777" w:rsidR="006015EE" w:rsidRPr="006251ED" w:rsidRDefault="006015EE" w:rsidP="006251ED">
            <w:pPr>
              <w:spacing w:after="0" w:line="240" w:lineRule="auto"/>
              <w:jc w:val="center"/>
              <w:rPr>
                <w:rFonts w:ascii="Times New Roman" w:hAnsi="Times New Roman"/>
                <w:b/>
                <w:sz w:val="28"/>
                <w:szCs w:val="24"/>
              </w:rPr>
            </w:pPr>
            <w:r w:rsidRPr="006251ED">
              <w:rPr>
                <w:rFonts w:ascii="Times New Roman" w:hAnsi="Times New Roman"/>
                <w:b/>
                <w:sz w:val="28"/>
                <w:szCs w:val="24"/>
              </w:rPr>
              <w:t>2022</w:t>
            </w:r>
          </w:p>
        </w:tc>
        <w:tc>
          <w:tcPr>
            <w:tcW w:w="613" w:type="pct"/>
            <w:tcBorders>
              <w:top w:val="single" w:sz="4" w:space="0" w:color="auto"/>
              <w:left w:val="single" w:sz="4" w:space="0" w:color="auto"/>
              <w:bottom w:val="single" w:sz="4" w:space="0" w:color="auto"/>
              <w:right w:val="single" w:sz="4" w:space="0" w:color="auto"/>
            </w:tcBorders>
            <w:shd w:val="clear" w:color="auto" w:fill="A6A6A6"/>
            <w:vAlign w:val="center"/>
          </w:tcPr>
          <w:p w14:paraId="287E9EE4" w14:textId="77777777" w:rsidR="006015EE" w:rsidRPr="006251ED" w:rsidRDefault="006015EE" w:rsidP="006251ED">
            <w:pPr>
              <w:spacing w:after="0" w:line="240" w:lineRule="auto"/>
              <w:jc w:val="center"/>
              <w:rPr>
                <w:rFonts w:ascii="Times New Roman" w:hAnsi="Times New Roman"/>
                <w:b/>
                <w:sz w:val="28"/>
                <w:szCs w:val="24"/>
              </w:rPr>
            </w:pPr>
            <w:r w:rsidRPr="006251ED">
              <w:rPr>
                <w:rFonts w:ascii="Times New Roman" w:hAnsi="Times New Roman"/>
                <w:b/>
                <w:sz w:val="28"/>
                <w:szCs w:val="24"/>
              </w:rPr>
              <w:t>2023</w:t>
            </w:r>
          </w:p>
        </w:tc>
        <w:tc>
          <w:tcPr>
            <w:tcW w:w="613" w:type="pct"/>
            <w:tcBorders>
              <w:top w:val="single" w:sz="4" w:space="0" w:color="auto"/>
              <w:left w:val="single" w:sz="4" w:space="0" w:color="auto"/>
              <w:bottom w:val="single" w:sz="4" w:space="0" w:color="auto"/>
              <w:right w:val="single" w:sz="4" w:space="0" w:color="auto"/>
            </w:tcBorders>
            <w:shd w:val="clear" w:color="auto" w:fill="A6A6A6"/>
            <w:vAlign w:val="center"/>
          </w:tcPr>
          <w:p w14:paraId="1CA26A12" w14:textId="77777777" w:rsidR="006015EE" w:rsidRPr="006251ED" w:rsidRDefault="006015EE" w:rsidP="006251ED">
            <w:pPr>
              <w:spacing w:after="0" w:line="240" w:lineRule="auto"/>
              <w:jc w:val="center"/>
              <w:rPr>
                <w:rFonts w:ascii="Times New Roman" w:hAnsi="Times New Roman"/>
                <w:b/>
                <w:sz w:val="28"/>
                <w:szCs w:val="24"/>
                <w:highlight w:val="yellow"/>
              </w:rPr>
            </w:pPr>
            <w:r w:rsidRPr="006251ED">
              <w:rPr>
                <w:rFonts w:ascii="Times New Roman" w:hAnsi="Times New Roman"/>
                <w:b/>
                <w:sz w:val="28"/>
                <w:szCs w:val="24"/>
              </w:rPr>
              <w:t>2024</w:t>
            </w:r>
          </w:p>
        </w:tc>
      </w:tr>
      <w:tr w:rsidR="006015EE" w:rsidRPr="002B1C4F" w14:paraId="32304B0D" w14:textId="77777777" w:rsidTr="006251ED">
        <w:trPr>
          <w:trHeight w:val="341"/>
        </w:trPr>
        <w:tc>
          <w:tcPr>
            <w:tcW w:w="2546" w:type="pct"/>
            <w:tcBorders>
              <w:top w:val="nil"/>
              <w:left w:val="single" w:sz="4" w:space="0" w:color="auto"/>
              <w:bottom w:val="single" w:sz="4" w:space="0" w:color="auto"/>
              <w:right w:val="single" w:sz="4" w:space="0" w:color="auto"/>
            </w:tcBorders>
            <w:shd w:val="clear" w:color="auto" w:fill="auto"/>
            <w:noWrap/>
            <w:vAlign w:val="bottom"/>
          </w:tcPr>
          <w:p w14:paraId="347C3D03" w14:textId="77777777" w:rsidR="006015EE" w:rsidRPr="006251ED" w:rsidRDefault="006015EE" w:rsidP="006251ED">
            <w:pPr>
              <w:spacing w:after="0" w:line="240" w:lineRule="auto"/>
              <w:jc w:val="both"/>
              <w:rPr>
                <w:rFonts w:ascii="Times New Roman" w:hAnsi="Times New Roman"/>
                <w:b/>
                <w:sz w:val="24"/>
                <w:szCs w:val="24"/>
              </w:rPr>
            </w:pPr>
            <w:r w:rsidRPr="006251ED">
              <w:rPr>
                <w:rFonts w:ascii="Times New Roman" w:hAnsi="Times New Roman"/>
                <w:b/>
                <w:sz w:val="24"/>
                <w:szCs w:val="24"/>
              </w:rPr>
              <w:t>Substantiated</w:t>
            </w:r>
          </w:p>
        </w:tc>
        <w:tc>
          <w:tcPr>
            <w:tcW w:w="614" w:type="pct"/>
            <w:tcBorders>
              <w:top w:val="nil"/>
              <w:left w:val="single" w:sz="4" w:space="0" w:color="auto"/>
              <w:bottom w:val="single" w:sz="4" w:space="0" w:color="auto"/>
              <w:right w:val="single" w:sz="4" w:space="0" w:color="auto"/>
            </w:tcBorders>
            <w:vAlign w:val="center"/>
          </w:tcPr>
          <w:p w14:paraId="1D3D6752"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1</w:t>
            </w:r>
          </w:p>
        </w:tc>
        <w:tc>
          <w:tcPr>
            <w:tcW w:w="614" w:type="pct"/>
            <w:tcBorders>
              <w:top w:val="nil"/>
              <w:left w:val="single" w:sz="4" w:space="0" w:color="auto"/>
              <w:bottom w:val="single" w:sz="4" w:space="0" w:color="auto"/>
              <w:right w:val="single" w:sz="4" w:space="0" w:color="auto"/>
            </w:tcBorders>
            <w:vAlign w:val="center"/>
          </w:tcPr>
          <w:p w14:paraId="57B1765A"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4E163210"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448B61B6"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r>
      <w:tr w:rsidR="006015EE" w:rsidRPr="002B1C4F" w14:paraId="3B6DC3D7" w14:textId="77777777" w:rsidTr="006251ED">
        <w:trPr>
          <w:trHeight w:val="300"/>
        </w:trPr>
        <w:tc>
          <w:tcPr>
            <w:tcW w:w="2546" w:type="pct"/>
            <w:tcBorders>
              <w:top w:val="nil"/>
              <w:left w:val="single" w:sz="4" w:space="0" w:color="auto"/>
              <w:bottom w:val="single" w:sz="4" w:space="0" w:color="auto"/>
              <w:right w:val="single" w:sz="4" w:space="0" w:color="auto"/>
            </w:tcBorders>
            <w:shd w:val="clear" w:color="auto" w:fill="auto"/>
            <w:noWrap/>
            <w:vAlign w:val="bottom"/>
          </w:tcPr>
          <w:p w14:paraId="01BBF397" w14:textId="77777777" w:rsidR="006015EE" w:rsidRPr="006251ED" w:rsidRDefault="006015EE" w:rsidP="006251ED">
            <w:pPr>
              <w:spacing w:after="0" w:line="240" w:lineRule="auto"/>
              <w:jc w:val="both"/>
              <w:rPr>
                <w:rFonts w:ascii="Times New Roman" w:hAnsi="Times New Roman"/>
                <w:b/>
                <w:sz w:val="24"/>
                <w:szCs w:val="24"/>
              </w:rPr>
            </w:pPr>
            <w:r w:rsidRPr="006251ED">
              <w:rPr>
                <w:rFonts w:ascii="Times New Roman" w:hAnsi="Times New Roman"/>
                <w:b/>
                <w:sz w:val="24"/>
                <w:szCs w:val="24"/>
              </w:rPr>
              <w:t>Unsubstantiated</w:t>
            </w:r>
          </w:p>
        </w:tc>
        <w:tc>
          <w:tcPr>
            <w:tcW w:w="614" w:type="pct"/>
            <w:tcBorders>
              <w:top w:val="nil"/>
              <w:left w:val="single" w:sz="4" w:space="0" w:color="auto"/>
              <w:bottom w:val="single" w:sz="4" w:space="0" w:color="auto"/>
              <w:right w:val="single" w:sz="4" w:space="0" w:color="auto"/>
            </w:tcBorders>
            <w:vAlign w:val="center"/>
          </w:tcPr>
          <w:p w14:paraId="227C8E5F"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4" w:type="pct"/>
            <w:tcBorders>
              <w:top w:val="nil"/>
              <w:left w:val="single" w:sz="4" w:space="0" w:color="auto"/>
              <w:bottom w:val="single" w:sz="4" w:space="0" w:color="auto"/>
              <w:right w:val="single" w:sz="4" w:space="0" w:color="auto"/>
            </w:tcBorders>
            <w:vAlign w:val="center"/>
          </w:tcPr>
          <w:p w14:paraId="1F6E93EE"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1</w:t>
            </w:r>
          </w:p>
        </w:tc>
        <w:tc>
          <w:tcPr>
            <w:tcW w:w="613" w:type="pct"/>
            <w:tcBorders>
              <w:top w:val="nil"/>
              <w:left w:val="single" w:sz="4" w:space="0" w:color="auto"/>
              <w:bottom w:val="single" w:sz="4" w:space="0" w:color="auto"/>
              <w:right w:val="single" w:sz="4" w:space="0" w:color="auto"/>
            </w:tcBorders>
            <w:vAlign w:val="center"/>
          </w:tcPr>
          <w:p w14:paraId="702DCB87"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27E5F17B"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r>
      <w:tr w:rsidR="006015EE" w:rsidRPr="002B1C4F" w14:paraId="79D2EE14" w14:textId="77777777" w:rsidTr="006251ED">
        <w:trPr>
          <w:trHeight w:val="300"/>
        </w:trPr>
        <w:tc>
          <w:tcPr>
            <w:tcW w:w="2546" w:type="pct"/>
            <w:tcBorders>
              <w:top w:val="nil"/>
              <w:left w:val="single" w:sz="4" w:space="0" w:color="auto"/>
              <w:bottom w:val="single" w:sz="4" w:space="0" w:color="auto"/>
              <w:right w:val="single" w:sz="4" w:space="0" w:color="auto"/>
            </w:tcBorders>
            <w:shd w:val="clear" w:color="auto" w:fill="auto"/>
            <w:noWrap/>
            <w:vAlign w:val="bottom"/>
          </w:tcPr>
          <w:p w14:paraId="7CFEE5DE" w14:textId="77777777" w:rsidR="006015EE" w:rsidRPr="006251ED" w:rsidRDefault="006015EE" w:rsidP="006251ED">
            <w:pPr>
              <w:spacing w:after="0" w:line="240" w:lineRule="auto"/>
              <w:jc w:val="both"/>
              <w:rPr>
                <w:rFonts w:ascii="Times New Roman" w:hAnsi="Times New Roman"/>
                <w:b/>
                <w:sz w:val="24"/>
                <w:szCs w:val="24"/>
              </w:rPr>
            </w:pPr>
            <w:r w:rsidRPr="006251ED">
              <w:rPr>
                <w:rFonts w:ascii="Times New Roman" w:hAnsi="Times New Roman"/>
                <w:b/>
                <w:sz w:val="24"/>
                <w:szCs w:val="24"/>
              </w:rPr>
              <w:t>Unfounded</w:t>
            </w:r>
          </w:p>
        </w:tc>
        <w:tc>
          <w:tcPr>
            <w:tcW w:w="614" w:type="pct"/>
            <w:tcBorders>
              <w:top w:val="nil"/>
              <w:left w:val="single" w:sz="4" w:space="0" w:color="auto"/>
              <w:bottom w:val="single" w:sz="4" w:space="0" w:color="auto"/>
              <w:right w:val="single" w:sz="4" w:space="0" w:color="auto"/>
            </w:tcBorders>
            <w:vAlign w:val="center"/>
          </w:tcPr>
          <w:p w14:paraId="59C582E3"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4" w:type="pct"/>
            <w:tcBorders>
              <w:top w:val="nil"/>
              <w:left w:val="single" w:sz="4" w:space="0" w:color="auto"/>
              <w:bottom w:val="single" w:sz="4" w:space="0" w:color="auto"/>
              <w:right w:val="single" w:sz="4" w:space="0" w:color="auto"/>
            </w:tcBorders>
            <w:vAlign w:val="center"/>
          </w:tcPr>
          <w:p w14:paraId="093B2771"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3D64DFE2"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61EDC607"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r>
      <w:tr w:rsidR="006015EE" w:rsidRPr="002B1C4F" w14:paraId="3C549209" w14:textId="77777777" w:rsidTr="006251ED">
        <w:trPr>
          <w:trHeight w:val="300"/>
        </w:trPr>
        <w:tc>
          <w:tcPr>
            <w:tcW w:w="2546" w:type="pct"/>
            <w:tcBorders>
              <w:top w:val="nil"/>
              <w:left w:val="single" w:sz="4" w:space="0" w:color="auto"/>
              <w:bottom w:val="single" w:sz="4" w:space="0" w:color="auto"/>
              <w:right w:val="single" w:sz="4" w:space="0" w:color="auto"/>
            </w:tcBorders>
            <w:shd w:val="clear" w:color="auto" w:fill="auto"/>
            <w:noWrap/>
            <w:vAlign w:val="bottom"/>
          </w:tcPr>
          <w:p w14:paraId="2C0478EB" w14:textId="77777777" w:rsidR="006015EE" w:rsidRPr="006251ED" w:rsidRDefault="006015EE" w:rsidP="006251ED">
            <w:pPr>
              <w:spacing w:after="0" w:line="240" w:lineRule="auto"/>
              <w:jc w:val="both"/>
              <w:rPr>
                <w:rFonts w:ascii="Times New Roman" w:hAnsi="Times New Roman"/>
                <w:b/>
                <w:sz w:val="24"/>
                <w:szCs w:val="24"/>
              </w:rPr>
            </w:pPr>
            <w:r w:rsidRPr="006251ED">
              <w:rPr>
                <w:rFonts w:ascii="Times New Roman" w:hAnsi="Times New Roman"/>
                <w:b/>
                <w:sz w:val="24"/>
                <w:szCs w:val="24"/>
              </w:rPr>
              <w:t>Investigation Ongoing</w:t>
            </w:r>
          </w:p>
        </w:tc>
        <w:tc>
          <w:tcPr>
            <w:tcW w:w="614" w:type="pct"/>
            <w:tcBorders>
              <w:top w:val="nil"/>
              <w:left w:val="single" w:sz="4" w:space="0" w:color="auto"/>
              <w:bottom w:val="single" w:sz="4" w:space="0" w:color="auto"/>
              <w:right w:val="single" w:sz="4" w:space="0" w:color="auto"/>
            </w:tcBorders>
            <w:vAlign w:val="center"/>
          </w:tcPr>
          <w:p w14:paraId="429F8864"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4" w:type="pct"/>
            <w:tcBorders>
              <w:top w:val="nil"/>
              <w:left w:val="single" w:sz="4" w:space="0" w:color="auto"/>
              <w:bottom w:val="single" w:sz="4" w:space="0" w:color="auto"/>
              <w:right w:val="single" w:sz="4" w:space="0" w:color="auto"/>
            </w:tcBorders>
            <w:vAlign w:val="center"/>
          </w:tcPr>
          <w:p w14:paraId="7D4046EE"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25EE1A2A"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3A6E80EB"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r>
      <w:tr w:rsidR="006015EE" w:rsidRPr="002B1C4F" w14:paraId="090917F7" w14:textId="77777777" w:rsidTr="006251ED">
        <w:trPr>
          <w:trHeight w:val="300"/>
        </w:trPr>
        <w:tc>
          <w:tcPr>
            <w:tcW w:w="2546" w:type="pct"/>
            <w:tcBorders>
              <w:top w:val="nil"/>
              <w:left w:val="single" w:sz="4" w:space="0" w:color="auto"/>
              <w:bottom w:val="single" w:sz="4" w:space="0" w:color="auto"/>
              <w:right w:val="single" w:sz="4" w:space="0" w:color="auto"/>
            </w:tcBorders>
            <w:shd w:val="clear" w:color="auto" w:fill="auto"/>
            <w:noWrap/>
            <w:vAlign w:val="bottom"/>
          </w:tcPr>
          <w:p w14:paraId="137334DF" w14:textId="77777777" w:rsidR="006015EE" w:rsidRPr="006251ED" w:rsidRDefault="006015EE" w:rsidP="006251ED">
            <w:pPr>
              <w:spacing w:after="0" w:line="240" w:lineRule="auto"/>
              <w:jc w:val="both"/>
              <w:rPr>
                <w:rFonts w:ascii="Times New Roman" w:hAnsi="Times New Roman"/>
                <w:b/>
                <w:sz w:val="24"/>
                <w:szCs w:val="24"/>
              </w:rPr>
            </w:pPr>
            <w:r w:rsidRPr="006251ED">
              <w:rPr>
                <w:rFonts w:ascii="Times New Roman" w:hAnsi="Times New Roman"/>
                <w:b/>
                <w:sz w:val="24"/>
                <w:szCs w:val="24"/>
              </w:rPr>
              <w:t>Total</w:t>
            </w:r>
          </w:p>
        </w:tc>
        <w:tc>
          <w:tcPr>
            <w:tcW w:w="614" w:type="pct"/>
            <w:tcBorders>
              <w:top w:val="nil"/>
              <w:left w:val="single" w:sz="4" w:space="0" w:color="auto"/>
              <w:bottom w:val="single" w:sz="4" w:space="0" w:color="auto"/>
              <w:right w:val="single" w:sz="4" w:space="0" w:color="auto"/>
            </w:tcBorders>
            <w:vAlign w:val="center"/>
          </w:tcPr>
          <w:p w14:paraId="45BFFB12"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1</w:t>
            </w:r>
          </w:p>
        </w:tc>
        <w:tc>
          <w:tcPr>
            <w:tcW w:w="614" w:type="pct"/>
            <w:tcBorders>
              <w:top w:val="nil"/>
              <w:left w:val="single" w:sz="4" w:space="0" w:color="auto"/>
              <w:bottom w:val="single" w:sz="4" w:space="0" w:color="auto"/>
              <w:right w:val="single" w:sz="4" w:space="0" w:color="auto"/>
            </w:tcBorders>
            <w:vAlign w:val="center"/>
          </w:tcPr>
          <w:p w14:paraId="710FB3E2"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1</w:t>
            </w:r>
          </w:p>
        </w:tc>
        <w:tc>
          <w:tcPr>
            <w:tcW w:w="613" w:type="pct"/>
            <w:tcBorders>
              <w:top w:val="nil"/>
              <w:left w:val="single" w:sz="4" w:space="0" w:color="auto"/>
              <w:bottom w:val="single" w:sz="4" w:space="0" w:color="auto"/>
              <w:right w:val="single" w:sz="4" w:space="0" w:color="auto"/>
            </w:tcBorders>
            <w:vAlign w:val="center"/>
          </w:tcPr>
          <w:p w14:paraId="0274D6D9"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5762EC1E"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r>
    </w:tbl>
    <w:p w14:paraId="3CE919C6" w14:textId="77777777" w:rsidR="009B7496" w:rsidRPr="00392248" w:rsidRDefault="009B7496" w:rsidP="00392248">
      <w:pPr>
        <w:spacing w:line="360" w:lineRule="auto"/>
        <w:rPr>
          <w:rFonts w:ascii="Garamond" w:hAnsi="Garamond"/>
          <w:b/>
          <w:sz w:val="25"/>
          <w:szCs w:val="25"/>
          <w:highlight w:val="yellow"/>
        </w:rPr>
      </w:pPr>
    </w:p>
    <w:tbl>
      <w:tblPr>
        <w:tblpPr w:leftFromText="180" w:rightFromText="180" w:vertAnchor="text" w:horzAnchor="margin" w:tblpXSpec="center" w:tblpY="179"/>
        <w:tblW w:w="5000" w:type="pct"/>
        <w:tblLook w:val="04A0" w:firstRow="1" w:lastRow="0" w:firstColumn="1" w:lastColumn="0" w:noHBand="0" w:noVBand="1"/>
      </w:tblPr>
      <w:tblGrid>
        <w:gridCol w:w="5494"/>
        <w:gridCol w:w="1325"/>
        <w:gridCol w:w="1325"/>
        <w:gridCol w:w="1323"/>
        <w:gridCol w:w="1323"/>
      </w:tblGrid>
      <w:tr w:rsidR="006015EE" w:rsidRPr="00392248" w14:paraId="3E19AF06" w14:textId="77777777" w:rsidTr="006251ED">
        <w:trPr>
          <w:trHeight w:val="440"/>
        </w:trPr>
        <w:tc>
          <w:tcPr>
            <w:tcW w:w="2546" w:type="pct"/>
            <w:tcBorders>
              <w:top w:val="single" w:sz="4" w:space="0" w:color="auto"/>
              <w:left w:val="single" w:sz="4" w:space="0" w:color="auto"/>
              <w:bottom w:val="single" w:sz="4" w:space="0" w:color="auto"/>
              <w:right w:val="single" w:sz="4" w:space="0" w:color="auto"/>
            </w:tcBorders>
            <w:shd w:val="clear" w:color="auto" w:fill="A6A6A6"/>
            <w:noWrap/>
            <w:vAlign w:val="center"/>
          </w:tcPr>
          <w:p w14:paraId="558E9FDD" w14:textId="77777777" w:rsidR="006015EE" w:rsidRPr="006251ED" w:rsidRDefault="006015EE" w:rsidP="006251ED">
            <w:pPr>
              <w:spacing w:after="0" w:line="240" w:lineRule="auto"/>
              <w:jc w:val="center"/>
              <w:rPr>
                <w:rFonts w:ascii="Times New Roman" w:hAnsi="Times New Roman"/>
                <w:b/>
                <w:bCs/>
                <w:sz w:val="28"/>
                <w:szCs w:val="24"/>
              </w:rPr>
            </w:pPr>
            <w:r w:rsidRPr="006251ED">
              <w:rPr>
                <w:rFonts w:ascii="Times New Roman" w:hAnsi="Times New Roman"/>
                <w:b/>
                <w:bCs/>
                <w:sz w:val="28"/>
                <w:szCs w:val="24"/>
              </w:rPr>
              <w:t>PREA Allegations of Client-on-Client</w:t>
            </w:r>
          </w:p>
        </w:tc>
        <w:tc>
          <w:tcPr>
            <w:tcW w:w="614" w:type="pct"/>
            <w:tcBorders>
              <w:top w:val="single" w:sz="4" w:space="0" w:color="auto"/>
              <w:left w:val="single" w:sz="4" w:space="0" w:color="auto"/>
              <w:bottom w:val="single" w:sz="4" w:space="0" w:color="auto"/>
              <w:right w:val="single" w:sz="4" w:space="0" w:color="auto"/>
            </w:tcBorders>
            <w:shd w:val="clear" w:color="auto" w:fill="A6A6A6"/>
            <w:vAlign w:val="center"/>
          </w:tcPr>
          <w:p w14:paraId="5B97C071" w14:textId="77777777" w:rsidR="006015EE" w:rsidRPr="006251ED" w:rsidRDefault="006015EE" w:rsidP="006251ED">
            <w:pPr>
              <w:spacing w:after="0" w:line="240" w:lineRule="auto"/>
              <w:jc w:val="center"/>
              <w:rPr>
                <w:rFonts w:ascii="Times New Roman" w:hAnsi="Times New Roman"/>
                <w:b/>
                <w:sz w:val="28"/>
                <w:szCs w:val="24"/>
              </w:rPr>
            </w:pPr>
            <w:r w:rsidRPr="006251ED">
              <w:rPr>
                <w:rFonts w:ascii="Times New Roman" w:hAnsi="Times New Roman"/>
                <w:b/>
                <w:sz w:val="28"/>
                <w:szCs w:val="24"/>
              </w:rPr>
              <w:t>2021</w:t>
            </w:r>
          </w:p>
        </w:tc>
        <w:tc>
          <w:tcPr>
            <w:tcW w:w="614" w:type="pct"/>
            <w:tcBorders>
              <w:top w:val="single" w:sz="4" w:space="0" w:color="auto"/>
              <w:left w:val="single" w:sz="4" w:space="0" w:color="auto"/>
              <w:bottom w:val="single" w:sz="4" w:space="0" w:color="auto"/>
              <w:right w:val="single" w:sz="4" w:space="0" w:color="auto"/>
            </w:tcBorders>
            <w:shd w:val="clear" w:color="auto" w:fill="A6A6A6"/>
            <w:vAlign w:val="center"/>
          </w:tcPr>
          <w:p w14:paraId="67BEA31D" w14:textId="77777777" w:rsidR="006015EE" w:rsidRPr="006251ED" w:rsidRDefault="006015EE" w:rsidP="006251ED">
            <w:pPr>
              <w:spacing w:after="0" w:line="240" w:lineRule="auto"/>
              <w:jc w:val="center"/>
              <w:rPr>
                <w:rFonts w:ascii="Times New Roman" w:hAnsi="Times New Roman"/>
                <w:b/>
                <w:sz w:val="28"/>
                <w:szCs w:val="24"/>
              </w:rPr>
            </w:pPr>
            <w:r w:rsidRPr="006251ED">
              <w:rPr>
                <w:rFonts w:ascii="Times New Roman" w:hAnsi="Times New Roman"/>
                <w:b/>
                <w:sz w:val="28"/>
                <w:szCs w:val="24"/>
              </w:rPr>
              <w:t>2022</w:t>
            </w:r>
          </w:p>
        </w:tc>
        <w:tc>
          <w:tcPr>
            <w:tcW w:w="613" w:type="pct"/>
            <w:tcBorders>
              <w:top w:val="single" w:sz="4" w:space="0" w:color="auto"/>
              <w:left w:val="single" w:sz="4" w:space="0" w:color="auto"/>
              <w:bottom w:val="single" w:sz="4" w:space="0" w:color="auto"/>
              <w:right w:val="single" w:sz="4" w:space="0" w:color="auto"/>
            </w:tcBorders>
            <w:shd w:val="clear" w:color="auto" w:fill="A6A6A6"/>
            <w:vAlign w:val="center"/>
          </w:tcPr>
          <w:p w14:paraId="1784773D" w14:textId="77777777" w:rsidR="006015EE" w:rsidRPr="006251ED" w:rsidRDefault="006015EE" w:rsidP="006251ED">
            <w:pPr>
              <w:spacing w:after="0" w:line="240" w:lineRule="auto"/>
              <w:jc w:val="center"/>
              <w:rPr>
                <w:rFonts w:ascii="Times New Roman" w:hAnsi="Times New Roman"/>
                <w:b/>
                <w:sz w:val="28"/>
                <w:szCs w:val="24"/>
              </w:rPr>
            </w:pPr>
            <w:r w:rsidRPr="006251ED">
              <w:rPr>
                <w:rFonts w:ascii="Times New Roman" w:hAnsi="Times New Roman"/>
                <w:b/>
                <w:sz w:val="28"/>
                <w:szCs w:val="24"/>
              </w:rPr>
              <w:t>2023</w:t>
            </w:r>
          </w:p>
        </w:tc>
        <w:tc>
          <w:tcPr>
            <w:tcW w:w="613" w:type="pct"/>
            <w:tcBorders>
              <w:top w:val="single" w:sz="4" w:space="0" w:color="auto"/>
              <w:left w:val="single" w:sz="4" w:space="0" w:color="auto"/>
              <w:bottom w:val="single" w:sz="4" w:space="0" w:color="auto"/>
              <w:right w:val="single" w:sz="4" w:space="0" w:color="auto"/>
            </w:tcBorders>
            <w:shd w:val="clear" w:color="auto" w:fill="A6A6A6"/>
            <w:vAlign w:val="center"/>
          </w:tcPr>
          <w:p w14:paraId="4FDF219F" w14:textId="77777777" w:rsidR="006015EE" w:rsidRPr="006251ED" w:rsidRDefault="006015EE" w:rsidP="006251ED">
            <w:pPr>
              <w:spacing w:after="0" w:line="240" w:lineRule="auto"/>
              <w:jc w:val="center"/>
              <w:rPr>
                <w:rFonts w:ascii="Times New Roman" w:hAnsi="Times New Roman"/>
                <w:b/>
                <w:sz w:val="28"/>
                <w:szCs w:val="24"/>
                <w:highlight w:val="yellow"/>
              </w:rPr>
            </w:pPr>
            <w:r w:rsidRPr="006251ED">
              <w:rPr>
                <w:rFonts w:ascii="Times New Roman" w:hAnsi="Times New Roman"/>
                <w:b/>
                <w:sz w:val="28"/>
                <w:szCs w:val="24"/>
              </w:rPr>
              <w:t>2024</w:t>
            </w:r>
          </w:p>
        </w:tc>
      </w:tr>
      <w:tr w:rsidR="006015EE" w:rsidRPr="00392248" w14:paraId="4EBC1A66" w14:textId="77777777" w:rsidTr="006251ED">
        <w:trPr>
          <w:trHeight w:val="347"/>
        </w:trPr>
        <w:tc>
          <w:tcPr>
            <w:tcW w:w="2546" w:type="pct"/>
            <w:tcBorders>
              <w:top w:val="nil"/>
              <w:left w:val="single" w:sz="4" w:space="0" w:color="auto"/>
              <w:bottom w:val="single" w:sz="4" w:space="0" w:color="auto"/>
              <w:right w:val="single" w:sz="4" w:space="0" w:color="auto"/>
            </w:tcBorders>
            <w:shd w:val="clear" w:color="auto" w:fill="auto"/>
            <w:noWrap/>
            <w:vAlign w:val="bottom"/>
          </w:tcPr>
          <w:p w14:paraId="7A5C3FFC" w14:textId="77777777" w:rsidR="006015EE" w:rsidRPr="006251ED" w:rsidRDefault="006015EE" w:rsidP="006251ED">
            <w:pPr>
              <w:spacing w:after="0" w:line="240" w:lineRule="auto"/>
              <w:jc w:val="both"/>
              <w:rPr>
                <w:rFonts w:ascii="Times New Roman" w:hAnsi="Times New Roman"/>
                <w:b/>
                <w:sz w:val="24"/>
                <w:szCs w:val="24"/>
              </w:rPr>
            </w:pPr>
            <w:r w:rsidRPr="006251ED">
              <w:rPr>
                <w:rFonts w:ascii="Times New Roman" w:hAnsi="Times New Roman"/>
                <w:b/>
                <w:sz w:val="24"/>
                <w:szCs w:val="24"/>
              </w:rPr>
              <w:t>Substantiated</w:t>
            </w:r>
          </w:p>
        </w:tc>
        <w:tc>
          <w:tcPr>
            <w:tcW w:w="614" w:type="pct"/>
            <w:tcBorders>
              <w:top w:val="nil"/>
              <w:left w:val="single" w:sz="4" w:space="0" w:color="auto"/>
              <w:bottom w:val="single" w:sz="4" w:space="0" w:color="auto"/>
              <w:right w:val="single" w:sz="4" w:space="0" w:color="auto"/>
            </w:tcBorders>
            <w:vAlign w:val="center"/>
          </w:tcPr>
          <w:p w14:paraId="400F9956"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4" w:type="pct"/>
            <w:tcBorders>
              <w:top w:val="nil"/>
              <w:left w:val="single" w:sz="4" w:space="0" w:color="auto"/>
              <w:bottom w:val="single" w:sz="4" w:space="0" w:color="auto"/>
              <w:right w:val="single" w:sz="4" w:space="0" w:color="auto"/>
            </w:tcBorders>
            <w:vAlign w:val="center"/>
          </w:tcPr>
          <w:p w14:paraId="317A5C93"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3E3E2F32"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72A5690D"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r>
      <w:tr w:rsidR="006015EE" w:rsidRPr="00392248" w14:paraId="576FB37C" w14:textId="77777777" w:rsidTr="006251ED">
        <w:trPr>
          <w:trHeight w:val="300"/>
        </w:trPr>
        <w:tc>
          <w:tcPr>
            <w:tcW w:w="2546" w:type="pct"/>
            <w:tcBorders>
              <w:top w:val="nil"/>
              <w:left w:val="single" w:sz="4" w:space="0" w:color="auto"/>
              <w:bottom w:val="single" w:sz="4" w:space="0" w:color="auto"/>
              <w:right w:val="single" w:sz="4" w:space="0" w:color="auto"/>
            </w:tcBorders>
            <w:shd w:val="clear" w:color="auto" w:fill="auto"/>
            <w:noWrap/>
            <w:vAlign w:val="bottom"/>
          </w:tcPr>
          <w:p w14:paraId="214D8C81" w14:textId="77777777" w:rsidR="006015EE" w:rsidRPr="006251ED" w:rsidRDefault="006015EE" w:rsidP="006251ED">
            <w:pPr>
              <w:spacing w:after="0" w:line="240" w:lineRule="auto"/>
              <w:jc w:val="both"/>
              <w:rPr>
                <w:rFonts w:ascii="Times New Roman" w:hAnsi="Times New Roman"/>
                <w:b/>
                <w:sz w:val="24"/>
                <w:szCs w:val="24"/>
              </w:rPr>
            </w:pPr>
            <w:r w:rsidRPr="006251ED">
              <w:rPr>
                <w:rFonts w:ascii="Times New Roman" w:hAnsi="Times New Roman"/>
                <w:b/>
                <w:sz w:val="24"/>
                <w:szCs w:val="24"/>
              </w:rPr>
              <w:t>Unsubstantiated</w:t>
            </w:r>
          </w:p>
        </w:tc>
        <w:tc>
          <w:tcPr>
            <w:tcW w:w="614" w:type="pct"/>
            <w:tcBorders>
              <w:top w:val="nil"/>
              <w:left w:val="single" w:sz="4" w:space="0" w:color="auto"/>
              <w:bottom w:val="single" w:sz="4" w:space="0" w:color="auto"/>
              <w:right w:val="single" w:sz="4" w:space="0" w:color="auto"/>
            </w:tcBorders>
            <w:vAlign w:val="center"/>
          </w:tcPr>
          <w:p w14:paraId="3713F559"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4" w:type="pct"/>
            <w:tcBorders>
              <w:top w:val="nil"/>
              <w:left w:val="single" w:sz="4" w:space="0" w:color="auto"/>
              <w:bottom w:val="single" w:sz="4" w:space="0" w:color="auto"/>
              <w:right w:val="single" w:sz="4" w:space="0" w:color="auto"/>
            </w:tcBorders>
            <w:vAlign w:val="center"/>
          </w:tcPr>
          <w:p w14:paraId="13B831EC"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1C5FF55E"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2854C754"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r>
      <w:tr w:rsidR="006015EE" w:rsidRPr="00392248" w14:paraId="5CBA73EA" w14:textId="77777777" w:rsidTr="006251ED">
        <w:trPr>
          <w:trHeight w:val="300"/>
        </w:trPr>
        <w:tc>
          <w:tcPr>
            <w:tcW w:w="2546" w:type="pct"/>
            <w:tcBorders>
              <w:top w:val="nil"/>
              <w:left w:val="single" w:sz="4" w:space="0" w:color="auto"/>
              <w:bottom w:val="single" w:sz="4" w:space="0" w:color="auto"/>
              <w:right w:val="single" w:sz="4" w:space="0" w:color="auto"/>
            </w:tcBorders>
            <w:shd w:val="clear" w:color="auto" w:fill="auto"/>
            <w:noWrap/>
            <w:vAlign w:val="bottom"/>
          </w:tcPr>
          <w:p w14:paraId="7345914F" w14:textId="77777777" w:rsidR="006015EE" w:rsidRPr="006251ED" w:rsidRDefault="006015EE" w:rsidP="006251ED">
            <w:pPr>
              <w:spacing w:after="0" w:line="240" w:lineRule="auto"/>
              <w:jc w:val="both"/>
              <w:rPr>
                <w:rFonts w:ascii="Times New Roman" w:hAnsi="Times New Roman"/>
                <w:b/>
                <w:sz w:val="24"/>
                <w:szCs w:val="24"/>
              </w:rPr>
            </w:pPr>
            <w:r w:rsidRPr="006251ED">
              <w:rPr>
                <w:rFonts w:ascii="Times New Roman" w:hAnsi="Times New Roman"/>
                <w:b/>
                <w:sz w:val="24"/>
                <w:szCs w:val="24"/>
              </w:rPr>
              <w:t>Unfounded</w:t>
            </w:r>
          </w:p>
        </w:tc>
        <w:tc>
          <w:tcPr>
            <w:tcW w:w="614" w:type="pct"/>
            <w:tcBorders>
              <w:top w:val="nil"/>
              <w:left w:val="single" w:sz="4" w:space="0" w:color="auto"/>
              <w:bottom w:val="single" w:sz="4" w:space="0" w:color="auto"/>
              <w:right w:val="single" w:sz="4" w:space="0" w:color="auto"/>
            </w:tcBorders>
            <w:vAlign w:val="center"/>
          </w:tcPr>
          <w:p w14:paraId="4EE467CE"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4" w:type="pct"/>
            <w:tcBorders>
              <w:top w:val="nil"/>
              <w:left w:val="single" w:sz="4" w:space="0" w:color="auto"/>
              <w:bottom w:val="single" w:sz="4" w:space="0" w:color="auto"/>
              <w:right w:val="single" w:sz="4" w:space="0" w:color="auto"/>
            </w:tcBorders>
            <w:vAlign w:val="center"/>
          </w:tcPr>
          <w:p w14:paraId="2B6F1717"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5FD58B3F"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1E4BCB14"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r>
      <w:tr w:rsidR="006015EE" w:rsidRPr="00392248" w14:paraId="2E1AE8C3" w14:textId="77777777" w:rsidTr="006251ED">
        <w:trPr>
          <w:trHeight w:val="300"/>
        </w:trPr>
        <w:tc>
          <w:tcPr>
            <w:tcW w:w="2546" w:type="pct"/>
            <w:tcBorders>
              <w:top w:val="nil"/>
              <w:left w:val="single" w:sz="4" w:space="0" w:color="auto"/>
              <w:bottom w:val="single" w:sz="4" w:space="0" w:color="auto"/>
              <w:right w:val="single" w:sz="4" w:space="0" w:color="auto"/>
            </w:tcBorders>
            <w:shd w:val="clear" w:color="auto" w:fill="auto"/>
            <w:noWrap/>
            <w:vAlign w:val="bottom"/>
          </w:tcPr>
          <w:p w14:paraId="77FDB3F1" w14:textId="77777777" w:rsidR="006015EE" w:rsidRPr="006251ED" w:rsidRDefault="006015EE" w:rsidP="006251ED">
            <w:pPr>
              <w:spacing w:after="0" w:line="240" w:lineRule="auto"/>
              <w:jc w:val="both"/>
              <w:rPr>
                <w:rFonts w:ascii="Times New Roman" w:hAnsi="Times New Roman"/>
                <w:b/>
                <w:sz w:val="24"/>
                <w:szCs w:val="24"/>
              </w:rPr>
            </w:pPr>
            <w:r w:rsidRPr="006251ED">
              <w:rPr>
                <w:rFonts w:ascii="Times New Roman" w:hAnsi="Times New Roman"/>
                <w:b/>
                <w:sz w:val="24"/>
                <w:szCs w:val="24"/>
              </w:rPr>
              <w:t>Investigation Ongoing</w:t>
            </w:r>
          </w:p>
        </w:tc>
        <w:tc>
          <w:tcPr>
            <w:tcW w:w="614" w:type="pct"/>
            <w:tcBorders>
              <w:top w:val="nil"/>
              <w:left w:val="single" w:sz="4" w:space="0" w:color="auto"/>
              <w:bottom w:val="single" w:sz="4" w:space="0" w:color="auto"/>
              <w:right w:val="single" w:sz="4" w:space="0" w:color="auto"/>
            </w:tcBorders>
            <w:vAlign w:val="center"/>
          </w:tcPr>
          <w:p w14:paraId="5AED1FE2"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4" w:type="pct"/>
            <w:tcBorders>
              <w:top w:val="nil"/>
              <w:left w:val="single" w:sz="4" w:space="0" w:color="auto"/>
              <w:bottom w:val="single" w:sz="4" w:space="0" w:color="auto"/>
              <w:right w:val="single" w:sz="4" w:space="0" w:color="auto"/>
            </w:tcBorders>
            <w:vAlign w:val="center"/>
          </w:tcPr>
          <w:p w14:paraId="55ECFA57"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7F4CC241"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3EC531F9"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r>
      <w:tr w:rsidR="006015EE" w:rsidRPr="00392248" w14:paraId="5A2550B4" w14:textId="77777777" w:rsidTr="006251ED">
        <w:trPr>
          <w:trHeight w:val="300"/>
        </w:trPr>
        <w:tc>
          <w:tcPr>
            <w:tcW w:w="2546" w:type="pct"/>
            <w:tcBorders>
              <w:top w:val="nil"/>
              <w:left w:val="single" w:sz="4" w:space="0" w:color="auto"/>
              <w:bottom w:val="single" w:sz="4" w:space="0" w:color="auto"/>
              <w:right w:val="single" w:sz="4" w:space="0" w:color="auto"/>
            </w:tcBorders>
            <w:shd w:val="clear" w:color="auto" w:fill="auto"/>
            <w:noWrap/>
            <w:vAlign w:val="bottom"/>
          </w:tcPr>
          <w:p w14:paraId="5960495F" w14:textId="77777777" w:rsidR="006015EE" w:rsidRPr="006251ED" w:rsidRDefault="006015EE" w:rsidP="006251ED">
            <w:pPr>
              <w:spacing w:after="0" w:line="240" w:lineRule="auto"/>
              <w:jc w:val="both"/>
              <w:rPr>
                <w:rFonts w:ascii="Times New Roman" w:hAnsi="Times New Roman"/>
                <w:b/>
                <w:sz w:val="24"/>
                <w:szCs w:val="24"/>
              </w:rPr>
            </w:pPr>
            <w:r w:rsidRPr="006251ED">
              <w:rPr>
                <w:rFonts w:ascii="Times New Roman" w:hAnsi="Times New Roman"/>
                <w:b/>
                <w:sz w:val="24"/>
                <w:szCs w:val="24"/>
              </w:rPr>
              <w:t>Total</w:t>
            </w:r>
          </w:p>
        </w:tc>
        <w:tc>
          <w:tcPr>
            <w:tcW w:w="614" w:type="pct"/>
            <w:tcBorders>
              <w:top w:val="nil"/>
              <w:left w:val="single" w:sz="4" w:space="0" w:color="auto"/>
              <w:bottom w:val="single" w:sz="4" w:space="0" w:color="auto"/>
              <w:right w:val="single" w:sz="4" w:space="0" w:color="auto"/>
            </w:tcBorders>
            <w:vAlign w:val="center"/>
          </w:tcPr>
          <w:p w14:paraId="5DEB94C1"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4" w:type="pct"/>
            <w:tcBorders>
              <w:top w:val="nil"/>
              <w:left w:val="single" w:sz="4" w:space="0" w:color="auto"/>
              <w:bottom w:val="single" w:sz="4" w:space="0" w:color="auto"/>
              <w:right w:val="single" w:sz="4" w:space="0" w:color="auto"/>
            </w:tcBorders>
            <w:vAlign w:val="center"/>
          </w:tcPr>
          <w:p w14:paraId="31B6A8C0"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47749229"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c>
          <w:tcPr>
            <w:tcW w:w="613" w:type="pct"/>
            <w:tcBorders>
              <w:top w:val="nil"/>
              <w:left w:val="single" w:sz="4" w:space="0" w:color="auto"/>
              <w:bottom w:val="single" w:sz="4" w:space="0" w:color="auto"/>
              <w:right w:val="single" w:sz="4" w:space="0" w:color="auto"/>
            </w:tcBorders>
            <w:vAlign w:val="center"/>
          </w:tcPr>
          <w:p w14:paraId="5E180283" w14:textId="77777777" w:rsidR="006015EE" w:rsidRPr="006251ED" w:rsidRDefault="006015EE" w:rsidP="006251ED">
            <w:pPr>
              <w:spacing w:after="0" w:line="240" w:lineRule="auto"/>
              <w:jc w:val="center"/>
              <w:rPr>
                <w:rFonts w:ascii="Times New Roman" w:hAnsi="Times New Roman"/>
                <w:b/>
                <w:sz w:val="24"/>
                <w:szCs w:val="24"/>
              </w:rPr>
            </w:pPr>
            <w:r w:rsidRPr="006251ED">
              <w:rPr>
                <w:rFonts w:ascii="Times New Roman" w:hAnsi="Times New Roman"/>
                <w:b/>
                <w:sz w:val="24"/>
                <w:szCs w:val="24"/>
              </w:rPr>
              <w:t>0</w:t>
            </w:r>
          </w:p>
        </w:tc>
      </w:tr>
    </w:tbl>
    <w:p w14:paraId="6495DF8E" w14:textId="77777777" w:rsidR="009B7496" w:rsidRPr="00392248" w:rsidRDefault="009B7496" w:rsidP="00392248">
      <w:pPr>
        <w:spacing w:line="360" w:lineRule="auto"/>
        <w:rPr>
          <w:rFonts w:ascii="Garamond" w:hAnsi="Garamond"/>
          <w:b/>
          <w:sz w:val="20"/>
          <w:szCs w:val="20"/>
        </w:rPr>
      </w:pPr>
    </w:p>
    <w:p w14:paraId="49C46170" w14:textId="30D140B5" w:rsidR="0089379F" w:rsidRPr="006251ED" w:rsidRDefault="006251ED" w:rsidP="006251ED">
      <w:pPr>
        <w:ind w:left="-90" w:firstLine="90"/>
        <w:jc w:val="both"/>
        <w:rPr>
          <w:rFonts w:ascii="Times New Roman" w:hAnsi="Times New Roman"/>
          <w:b/>
          <w:sz w:val="24"/>
          <w:szCs w:val="24"/>
        </w:rPr>
      </w:pPr>
      <w:r>
        <w:rPr>
          <w:rFonts w:ascii="Times New Roman" w:hAnsi="Times New Roman"/>
          <w:b/>
          <w:sz w:val="24"/>
          <w:szCs w:val="24"/>
        </w:rPr>
        <w:t>St</w:t>
      </w:r>
      <w:r w:rsidR="0089379F" w:rsidRPr="006251ED">
        <w:rPr>
          <w:rFonts w:ascii="Times New Roman" w:hAnsi="Times New Roman"/>
          <w:b/>
          <w:sz w:val="24"/>
          <w:szCs w:val="24"/>
        </w:rPr>
        <w:t>affing Plan</w:t>
      </w:r>
    </w:p>
    <w:p w14:paraId="0DDAED04" w14:textId="11DE62FD" w:rsidR="00DC44A5" w:rsidRDefault="008E2B87" w:rsidP="006251ED">
      <w:pPr>
        <w:jc w:val="both"/>
        <w:rPr>
          <w:rFonts w:ascii="Times New Roman" w:hAnsi="Times New Roman"/>
          <w:sz w:val="24"/>
          <w:szCs w:val="24"/>
        </w:rPr>
      </w:pPr>
      <w:r w:rsidRPr="006251ED">
        <w:rPr>
          <w:rFonts w:ascii="Times New Roman" w:hAnsi="Times New Roman"/>
          <w:sz w:val="24"/>
          <w:szCs w:val="24"/>
        </w:rPr>
        <w:t xml:space="preserve">All juvenile SCDOC </w:t>
      </w:r>
      <w:r w:rsidR="00DC44A5" w:rsidRPr="006251ED">
        <w:rPr>
          <w:rFonts w:ascii="Times New Roman" w:hAnsi="Times New Roman"/>
          <w:sz w:val="24"/>
          <w:szCs w:val="24"/>
        </w:rPr>
        <w:t xml:space="preserve">facilities </w:t>
      </w:r>
      <w:r w:rsidRPr="006251ED">
        <w:rPr>
          <w:rFonts w:ascii="Times New Roman" w:hAnsi="Times New Roman"/>
          <w:sz w:val="24"/>
          <w:szCs w:val="24"/>
        </w:rPr>
        <w:t>comply</w:t>
      </w:r>
      <w:r w:rsidR="0089379F" w:rsidRPr="006251ED">
        <w:rPr>
          <w:rFonts w:ascii="Times New Roman" w:hAnsi="Times New Roman"/>
          <w:sz w:val="24"/>
          <w:szCs w:val="24"/>
        </w:rPr>
        <w:t xml:space="preserve"> with federal and state licensing requirements for staffing ratios of a minimum of 1:8 during client waking hours and 1:</w:t>
      </w:r>
      <w:r w:rsidR="00E63B49" w:rsidRPr="006251ED">
        <w:rPr>
          <w:rFonts w:ascii="Times New Roman" w:hAnsi="Times New Roman"/>
          <w:sz w:val="24"/>
          <w:szCs w:val="24"/>
        </w:rPr>
        <w:t>14</w:t>
      </w:r>
      <w:r w:rsidR="0089379F" w:rsidRPr="006251ED">
        <w:rPr>
          <w:rFonts w:ascii="Times New Roman" w:hAnsi="Times New Roman"/>
          <w:sz w:val="24"/>
          <w:szCs w:val="24"/>
        </w:rPr>
        <w:t xml:space="preserve"> during client sleeping hours</w:t>
      </w:r>
      <w:r w:rsidR="00DC44A5" w:rsidRPr="006251ED">
        <w:rPr>
          <w:rFonts w:ascii="Times New Roman" w:hAnsi="Times New Roman"/>
          <w:sz w:val="24"/>
          <w:szCs w:val="24"/>
        </w:rPr>
        <w:t xml:space="preserve">. </w:t>
      </w:r>
      <w:r w:rsidR="0089379F" w:rsidRPr="006251ED">
        <w:rPr>
          <w:rFonts w:ascii="Times New Roman" w:hAnsi="Times New Roman"/>
          <w:sz w:val="24"/>
          <w:szCs w:val="24"/>
        </w:rPr>
        <w:t xml:space="preserve">SCDOC facilities </w:t>
      </w:r>
      <w:r w:rsidR="00DC44A5" w:rsidRPr="006251ED">
        <w:rPr>
          <w:rFonts w:ascii="Times New Roman" w:hAnsi="Times New Roman"/>
          <w:sz w:val="24"/>
          <w:szCs w:val="24"/>
        </w:rPr>
        <w:t>complete Annual Staffing Plan reviews to ensure PREA and staffing concerns are addressed and any deviations from the staffing plans are documented</w:t>
      </w:r>
      <w:r w:rsidR="007A29CE" w:rsidRPr="006251ED">
        <w:rPr>
          <w:rFonts w:ascii="Times New Roman" w:hAnsi="Times New Roman"/>
          <w:sz w:val="24"/>
          <w:szCs w:val="24"/>
        </w:rPr>
        <w:t>.</w:t>
      </w:r>
    </w:p>
    <w:p w14:paraId="22C37870" w14:textId="210EB9F0" w:rsidR="00147109" w:rsidRPr="006251ED" w:rsidRDefault="006251ED" w:rsidP="006251ED">
      <w:pPr>
        <w:jc w:val="both"/>
        <w:rPr>
          <w:rFonts w:ascii="Times New Roman" w:hAnsi="Times New Roman"/>
          <w:b/>
          <w:sz w:val="24"/>
          <w:szCs w:val="24"/>
        </w:rPr>
      </w:pPr>
      <w:r>
        <w:rPr>
          <w:rFonts w:ascii="Times New Roman" w:hAnsi="Times New Roman"/>
          <w:b/>
          <w:sz w:val="24"/>
          <w:szCs w:val="24"/>
        </w:rPr>
        <w:t>M</w:t>
      </w:r>
      <w:r w:rsidR="007F513C" w:rsidRPr="006251ED">
        <w:rPr>
          <w:rFonts w:ascii="Times New Roman" w:hAnsi="Times New Roman"/>
          <w:b/>
          <w:sz w:val="24"/>
          <w:szCs w:val="24"/>
        </w:rPr>
        <w:t>onitoring T</w:t>
      </w:r>
      <w:r w:rsidR="00147109" w:rsidRPr="006251ED">
        <w:rPr>
          <w:rFonts w:ascii="Times New Roman" w:hAnsi="Times New Roman"/>
          <w:b/>
          <w:sz w:val="24"/>
          <w:szCs w:val="24"/>
        </w:rPr>
        <w:t>echnology</w:t>
      </w:r>
    </w:p>
    <w:p w14:paraId="3FF02D31" w14:textId="77777777" w:rsidR="00147109" w:rsidRPr="006251ED" w:rsidRDefault="00835E94" w:rsidP="006251ED">
      <w:pPr>
        <w:jc w:val="both"/>
        <w:rPr>
          <w:rFonts w:ascii="Times New Roman" w:hAnsi="Times New Roman"/>
          <w:sz w:val="24"/>
          <w:szCs w:val="24"/>
        </w:rPr>
      </w:pPr>
      <w:r w:rsidRPr="006251ED">
        <w:rPr>
          <w:rFonts w:ascii="Times New Roman" w:hAnsi="Times New Roman"/>
          <w:sz w:val="24"/>
          <w:szCs w:val="24"/>
        </w:rPr>
        <w:t>All SCDOC facilities have camera video and recording c</w:t>
      </w:r>
      <w:r w:rsidR="00F0013F" w:rsidRPr="006251ED">
        <w:rPr>
          <w:rFonts w:ascii="Times New Roman" w:hAnsi="Times New Roman"/>
          <w:sz w:val="24"/>
          <w:szCs w:val="24"/>
        </w:rPr>
        <w:t xml:space="preserve">apabilities. Some audio capabilities are available at various locations. </w:t>
      </w:r>
    </w:p>
    <w:p w14:paraId="7C0275BB" w14:textId="77777777" w:rsidR="002413CA" w:rsidRPr="006251ED" w:rsidRDefault="00443D16" w:rsidP="006251ED">
      <w:pPr>
        <w:jc w:val="both"/>
        <w:rPr>
          <w:rFonts w:ascii="Times New Roman" w:hAnsi="Times New Roman"/>
          <w:sz w:val="24"/>
          <w:szCs w:val="24"/>
        </w:rPr>
      </w:pPr>
      <w:r w:rsidRPr="006251ED">
        <w:rPr>
          <w:rFonts w:ascii="Times New Roman" w:hAnsi="Times New Roman"/>
          <w:sz w:val="24"/>
          <w:szCs w:val="24"/>
        </w:rPr>
        <w:t>JDF</w:t>
      </w:r>
      <w:r w:rsidR="00F0013F" w:rsidRPr="006251ED">
        <w:rPr>
          <w:rFonts w:ascii="Times New Roman" w:hAnsi="Times New Roman"/>
          <w:sz w:val="24"/>
          <w:szCs w:val="24"/>
        </w:rPr>
        <w:t xml:space="preserve"> </w:t>
      </w:r>
      <w:r w:rsidR="002413CA" w:rsidRPr="006251ED">
        <w:rPr>
          <w:rFonts w:ascii="Times New Roman" w:hAnsi="Times New Roman"/>
          <w:sz w:val="24"/>
          <w:szCs w:val="24"/>
        </w:rPr>
        <w:t>upgrade</w:t>
      </w:r>
      <w:r w:rsidR="00F0013F" w:rsidRPr="006251ED">
        <w:rPr>
          <w:rFonts w:ascii="Times New Roman" w:hAnsi="Times New Roman"/>
          <w:sz w:val="24"/>
          <w:szCs w:val="24"/>
        </w:rPr>
        <w:t>d the</w:t>
      </w:r>
      <w:r w:rsidR="002413CA" w:rsidRPr="006251ED">
        <w:rPr>
          <w:rFonts w:ascii="Times New Roman" w:hAnsi="Times New Roman"/>
          <w:sz w:val="24"/>
          <w:szCs w:val="24"/>
        </w:rPr>
        <w:t xml:space="preserve"> Com-</w:t>
      </w:r>
      <w:proofErr w:type="spellStart"/>
      <w:r w:rsidR="002413CA" w:rsidRPr="006251ED">
        <w:rPr>
          <w:rFonts w:ascii="Times New Roman" w:hAnsi="Times New Roman"/>
          <w:sz w:val="24"/>
          <w:szCs w:val="24"/>
        </w:rPr>
        <w:t>tec</w:t>
      </w:r>
      <w:proofErr w:type="spellEnd"/>
      <w:r w:rsidR="002413CA" w:rsidRPr="006251ED">
        <w:rPr>
          <w:rFonts w:ascii="Times New Roman" w:hAnsi="Times New Roman"/>
          <w:sz w:val="24"/>
          <w:szCs w:val="24"/>
        </w:rPr>
        <w:t xml:space="preserve"> </w:t>
      </w:r>
      <w:r w:rsidR="00F0013F" w:rsidRPr="006251ED">
        <w:rPr>
          <w:rFonts w:ascii="Times New Roman" w:hAnsi="Times New Roman"/>
          <w:sz w:val="24"/>
          <w:szCs w:val="24"/>
        </w:rPr>
        <w:t>e</w:t>
      </w:r>
      <w:r w:rsidR="00512C9B" w:rsidRPr="006251ED">
        <w:rPr>
          <w:rFonts w:ascii="Times New Roman" w:hAnsi="Times New Roman"/>
          <w:sz w:val="24"/>
          <w:szCs w:val="24"/>
        </w:rPr>
        <w:t xml:space="preserve">quipment and cameras </w:t>
      </w:r>
      <w:r w:rsidR="00F0013F" w:rsidRPr="006251ED">
        <w:rPr>
          <w:rFonts w:ascii="Times New Roman" w:hAnsi="Times New Roman"/>
          <w:sz w:val="24"/>
          <w:szCs w:val="24"/>
        </w:rPr>
        <w:t>in December 2020</w:t>
      </w:r>
      <w:r w:rsidR="00EB0E58" w:rsidRPr="006251ED">
        <w:rPr>
          <w:rFonts w:ascii="Times New Roman" w:hAnsi="Times New Roman"/>
          <w:sz w:val="24"/>
          <w:szCs w:val="24"/>
        </w:rPr>
        <w:t xml:space="preserve">. </w:t>
      </w:r>
      <w:r w:rsidR="00E72D7A" w:rsidRPr="006251ED">
        <w:rPr>
          <w:rFonts w:ascii="Times New Roman" w:hAnsi="Times New Roman"/>
          <w:sz w:val="24"/>
          <w:szCs w:val="24"/>
        </w:rPr>
        <w:t xml:space="preserve">In 2024, there were 23 cameras added to the facility to increase overall coverage and eliminate identified blind spots. </w:t>
      </w:r>
      <w:r w:rsidR="00971F0F" w:rsidRPr="006251ED">
        <w:rPr>
          <w:rFonts w:ascii="Times New Roman" w:hAnsi="Times New Roman"/>
          <w:sz w:val="24"/>
          <w:szCs w:val="24"/>
        </w:rPr>
        <w:t xml:space="preserve">AXON body cameras with visual and audio recording abilities are worn by JDF Supervisors and JDF Assistant Supervisors. AXON fleet cameras were added to JDF and JRF vehicles and offer visual and audio recording capabilities. </w:t>
      </w:r>
      <w:r w:rsidR="001C304D" w:rsidRPr="006251ED">
        <w:rPr>
          <w:rFonts w:ascii="Times New Roman" w:hAnsi="Times New Roman"/>
          <w:sz w:val="24"/>
          <w:szCs w:val="24"/>
        </w:rPr>
        <w:t xml:space="preserve">There are now a total of </w:t>
      </w:r>
      <w:r w:rsidR="009C4BC4" w:rsidRPr="006251ED">
        <w:rPr>
          <w:rFonts w:ascii="Times New Roman" w:hAnsi="Times New Roman"/>
          <w:sz w:val="24"/>
          <w:szCs w:val="24"/>
        </w:rPr>
        <w:t>187</w:t>
      </w:r>
      <w:r w:rsidR="001C304D" w:rsidRPr="006251ED">
        <w:rPr>
          <w:rFonts w:ascii="Times New Roman" w:hAnsi="Times New Roman"/>
          <w:sz w:val="24"/>
          <w:szCs w:val="24"/>
        </w:rPr>
        <w:t xml:space="preserve"> cameras to monitor the interior and exterior areas of the facility.</w:t>
      </w:r>
      <w:r w:rsidR="00281C85" w:rsidRPr="006251ED">
        <w:rPr>
          <w:rFonts w:ascii="Times New Roman" w:hAnsi="Times New Roman"/>
          <w:sz w:val="24"/>
          <w:szCs w:val="24"/>
        </w:rPr>
        <w:t xml:space="preserve">  </w:t>
      </w:r>
      <w:r w:rsidR="00512C9B" w:rsidRPr="006251ED">
        <w:rPr>
          <w:rFonts w:ascii="Times New Roman" w:hAnsi="Times New Roman"/>
          <w:sz w:val="24"/>
          <w:szCs w:val="24"/>
        </w:rPr>
        <w:t xml:space="preserve"> </w:t>
      </w:r>
      <w:r w:rsidR="002413CA" w:rsidRPr="006251ED">
        <w:rPr>
          <w:rFonts w:ascii="Times New Roman" w:hAnsi="Times New Roman"/>
          <w:sz w:val="24"/>
          <w:szCs w:val="24"/>
        </w:rPr>
        <w:t xml:space="preserve">  </w:t>
      </w:r>
    </w:p>
    <w:p w14:paraId="056B8B56" w14:textId="77777777" w:rsidR="00834BCF" w:rsidRPr="006251ED" w:rsidRDefault="00443D16" w:rsidP="006251ED">
      <w:pPr>
        <w:jc w:val="both"/>
        <w:rPr>
          <w:rFonts w:ascii="Times New Roman" w:hAnsi="Times New Roman"/>
          <w:sz w:val="24"/>
          <w:szCs w:val="24"/>
        </w:rPr>
      </w:pPr>
      <w:r w:rsidRPr="006251ED">
        <w:rPr>
          <w:rFonts w:ascii="Times New Roman" w:hAnsi="Times New Roman"/>
          <w:sz w:val="24"/>
          <w:szCs w:val="24"/>
        </w:rPr>
        <w:t>ARES/WR</w:t>
      </w:r>
      <w:r w:rsidR="00B31432" w:rsidRPr="006251ED">
        <w:rPr>
          <w:rFonts w:ascii="Times New Roman" w:hAnsi="Times New Roman"/>
          <w:sz w:val="24"/>
          <w:szCs w:val="24"/>
        </w:rPr>
        <w:t xml:space="preserve"> </w:t>
      </w:r>
      <w:r w:rsidR="007F2296" w:rsidRPr="006251ED">
        <w:rPr>
          <w:rFonts w:ascii="Times New Roman" w:hAnsi="Times New Roman"/>
          <w:sz w:val="24"/>
          <w:szCs w:val="24"/>
        </w:rPr>
        <w:t>installed a new camera system</w:t>
      </w:r>
      <w:r w:rsidR="00A3467C" w:rsidRPr="006251ED">
        <w:rPr>
          <w:rFonts w:ascii="Times New Roman" w:hAnsi="Times New Roman"/>
          <w:sz w:val="24"/>
          <w:szCs w:val="24"/>
        </w:rPr>
        <w:t xml:space="preserve"> in 2019</w:t>
      </w:r>
      <w:r w:rsidR="007F2296" w:rsidRPr="006251ED">
        <w:rPr>
          <w:rFonts w:ascii="Times New Roman" w:hAnsi="Times New Roman"/>
          <w:sz w:val="24"/>
          <w:szCs w:val="24"/>
        </w:rPr>
        <w:t xml:space="preserve">, which includes new monitoring features and audio in select locations. </w:t>
      </w:r>
      <w:r w:rsidR="007D24F9" w:rsidRPr="006251ED">
        <w:rPr>
          <w:rFonts w:ascii="Times New Roman" w:hAnsi="Times New Roman"/>
          <w:sz w:val="24"/>
          <w:szCs w:val="24"/>
        </w:rPr>
        <w:t>In 202</w:t>
      </w:r>
      <w:r w:rsidR="00E72D7A" w:rsidRPr="006251ED">
        <w:rPr>
          <w:rFonts w:ascii="Times New Roman" w:hAnsi="Times New Roman"/>
          <w:sz w:val="24"/>
          <w:szCs w:val="24"/>
        </w:rPr>
        <w:t>4</w:t>
      </w:r>
      <w:r w:rsidR="007D24F9" w:rsidRPr="006251ED">
        <w:rPr>
          <w:rFonts w:ascii="Times New Roman" w:hAnsi="Times New Roman"/>
          <w:sz w:val="24"/>
          <w:szCs w:val="24"/>
        </w:rPr>
        <w:t>,</w:t>
      </w:r>
      <w:r w:rsidR="001C304D" w:rsidRPr="006251ED">
        <w:rPr>
          <w:rFonts w:ascii="Times New Roman" w:hAnsi="Times New Roman"/>
          <w:sz w:val="24"/>
          <w:szCs w:val="24"/>
        </w:rPr>
        <w:t xml:space="preserve"> the camera system completed an upgrade and</w:t>
      </w:r>
      <w:r w:rsidR="00763ACC" w:rsidRPr="006251ED">
        <w:rPr>
          <w:rFonts w:ascii="Times New Roman" w:hAnsi="Times New Roman"/>
          <w:sz w:val="24"/>
          <w:szCs w:val="24"/>
        </w:rPr>
        <w:t xml:space="preserve"> </w:t>
      </w:r>
      <w:r w:rsidR="007D24F9" w:rsidRPr="006251ED">
        <w:rPr>
          <w:rFonts w:ascii="Times New Roman" w:hAnsi="Times New Roman"/>
          <w:sz w:val="24"/>
          <w:szCs w:val="24"/>
        </w:rPr>
        <w:t xml:space="preserve">additional cameras were added to the </w:t>
      </w:r>
      <w:r w:rsidR="00763ACC" w:rsidRPr="006251ED">
        <w:rPr>
          <w:rFonts w:ascii="Times New Roman" w:hAnsi="Times New Roman"/>
          <w:sz w:val="24"/>
          <w:szCs w:val="24"/>
        </w:rPr>
        <w:t xml:space="preserve">system </w:t>
      </w:r>
      <w:r w:rsidR="007D24F9" w:rsidRPr="006251ED">
        <w:rPr>
          <w:rFonts w:ascii="Times New Roman" w:hAnsi="Times New Roman"/>
          <w:sz w:val="24"/>
          <w:szCs w:val="24"/>
        </w:rPr>
        <w:t xml:space="preserve">for increased overall coverage and there are now </w:t>
      </w:r>
      <w:r w:rsidR="00872E5A" w:rsidRPr="006251ED">
        <w:rPr>
          <w:rFonts w:ascii="Times New Roman" w:hAnsi="Times New Roman"/>
          <w:sz w:val="24"/>
          <w:szCs w:val="24"/>
        </w:rPr>
        <w:t>82</w:t>
      </w:r>
      <w:r w:rsidR="001C304D" w:rsidRPr="006251ED">
        <w:rPr>
          <w:rFonts w:ascii="Times New Roman" w:hAnsi="Times New Roman"/>
          <w:sz w:val="24"/>
          <w:szCs w:val="24"/>
        </w:rPr>
        <w:t xml:space="preserve"> </w:t>
      </w:r>
      <w:r w:rsidR="00F83876" w:rsidRPr="006251ED">
        <w:rPr>
          <w:rFonts w:ascii="Times New Roman" w:hAnsi="Times New Roman"/>
          <w:sz w:val="24"/>
          <w:szCs w:val="24"/>
        </w:rPr>
        <w:t xml:space="preserve">total </w:t>
      </w:r>
      <w:r w:rsidR="00763ACC" w:rsidRPr="006251ED">
        <w:rPr>
          <w:rFonts w:ascii="Times New Roman" w:hAnsi="Times New Roman"/>
          <w:sz w:val="24"/>
          <w:szCs w:val="24"/>
        </w:rPr>
        <w:t>cameras to monitor the interior and exterior of the facility and administrative offices.</w:t>
      </w:r>
    </w:p>
    <w:p w14:paraId="09CD1439" w14:textId="77777777" w:rsidR="00E12845" w:rsidRPr="006251ED" w:rsidRDefault="00443D16" w:rsidP="006251ED">
      <w:pPr>
        <w:jc w:val="both"/>
        <w:rPr>
          <w:rFonts w:ascii="Times New Roman" w:hAnsi="Times New Roman"/>
          <w:sz w:val="24"/>
          <w:szCs w:val="24"/>
        </w:rPr>
      </w:pPr>
      <w:r w:rsidRPr="006251ED">
        <w:rPr>
          <w:rFonts w:ascii="Times New Roman" w:hAnsi="Times New Roman"/>
          <w:sz w:val="24"/>
          <w:szCs w:val="24"/>
        </w:rPr>
        <w:lastRenderedPageBreak/>
        <w:t>The JRF</w:t>
      </w:r>
      <w:r w:rsidR="005F52DB" w:rsidRPr="006251ED">
        <w:rPr>
          <w:rFonts w:ascii="Times New Roman" w:hAnsi="Times New Roman"/>
          <w:sz w:val="24"/>
          <w:szCs w:val="24"/>
        </w:rPr>
        <w:t xml:space="preserve"> </w:t>
      </w:r>
      <w:r w:rsidR="000E382D" w:rsidRPr="006251ED">
        <w:rPr>
          <w:rFonts w:ascii="Times New Roman" w:hAnsi="Times New Roman"/>
          <w:sz w:val="24"/>
          <w:szCs w:val="24"/>
        </w:rPr>
        <w:t xml:space="preserve">camera system </w:t>
      </w:r>
      <w:r w:rsidR="00F0013F" w:rsidRPr="006251ED">
        <w:rPr>
          <w:rFonts w:ascii="Times New Roman" w:hAnsi="Times New Roman"/>
          <w:sz w:val="24"/>
          <w:szCs w:val="24"/>
        </w:rPr>
        <w:t>was</w:t>
      </w:r>
      <w:r w:rsidR="00872E5A" w:rsidRPr="006251ED">
        <w:rPr>
          <w:rFonts w:ascii="Times New Roman" w:hAnsi="Times New Roman"/>
          <w:sz w:val="24"/>
          <w:szCs w:val="24"/>
        </w:rPr>
        <w:t xml:space="preserve"> also</w:t>
      </w:r>
      <w:r w:rsidR="00B21B33" w:rsidRPr="006251ED">
        <w:rPr>
          <w:rFonts w:ascii="Times New Roman" w:hAnsi="Times New Roman"/>
          <w:sz w:val="24"/>
          <w:szCs w:val="24"/>
        </w:rPr>
        <w:t xml:space="preserve"> upgraded in </w:t>
      </w:r>
      <w:r w:rsidR="00872E5A" w:rsidRPr="006251ED">
        <w:rPr>
          <w:rFonts w:ascii="Times New Roman" w:hAnsi="Times New Roman"/>
          <w:sz w:val="24"/>
          <w:szCs w:val="24"/>
        </w:rPr>
        <w:t>2024</w:t>
      </w:r>
      <w:r w:rsidR="00B21B33" w:rsidRPr="006251ED">
        <w:rPr>
          <w:rFonts w:ascii="Times New Roman" w:hAnsi="Times New Roman"/>
          <w:sz w:val="24"/>
          <w:szCs w:val="24"/>
        </w:rPr>
        <w:t xml:space="preserve">.  This </w:t>
      </w:r>
      <w:r w:rsidR="00F0013F" w:rsidRPr="006251ED">
        <w:rPr>
          <w:rFonts w:ascii="Times New Roman" w:hAnsi="Times New Roman"/>
          <w:sz w:val="24"/>
          <w:szCs w:val="24"/>
        </w:rPr>
        <w:t xml:space="preserve">system has audio and video capabilities for </w:t>
      </w:r>
      <w:r w:rsidR="00872E5A" w:rsidRPr="006251ED">
        <w:rPr>
          <w:rFonts w:ascii="Times New Roman" w:hAnsi="Times New Roman"/>
          <w:sz w:val="24"/>
          <w:szCs w:val="24"/>
        </w:rPr>
        <w:t xml:space="preserve">19 interior </w:t>
      </w:r>
      <w:r w:rsidR="00F0013F" w:rsidRPr="006251ED">
        <w:rPr>
          <w:rFonts w:ascii="Times New Roman" w:hAnsi="Times New Roman"/>
          <w:sz w:val="24"/>
          <w:szCs w:val="24"/>
        </w:rPr>
        <w:t xml:space="preserve">facility cameras and </w:t>
      </w:r>
      <w:r w:rsidR="00872E5A" w:rsidRPr="006251ED">
        <w:rPr>
          <w:rFonts w:ascii="Times New Roman" w:hAnsi="Times New Roman"/>
          <w:sz w:val="24"/>
          <w:szCs w:val="24"/>
        </w:rPr>
        <w:t>7 exterior cameras</w:t>
      </w:r>
      <w:r w:rsidR="00F0013F" w:rsidRPr="006251ED">
        <w:rPr>
          <w:rFonts w:ascii="Times New Roman" w:hAnsi="Times New Roman"/>
          <w:sz w:val="24"/>
          <w:szCs w:val="24"/>
        </w:rPr>
        <w:t xml:space="preserve">.  </w:t>
      </w:r>
      <w:r w:rsidR="00B31432" w:rsidRPr="006251ED">
        <w:rPr>
          <w:rFonts w:ascii="Times New Roman" w:hAnsi="Times New Roman"/>
          <w:sz w:val="24"/>
          <w:szCs w:val="24"/>
        </w:rPr>
        <w:t xml:space="preserve">Overall, the system has </w:t>
      </w:r>
      <w:r w:rsidR="00872E5A" w:rsidRPr="006251ED">
        <w:rPr>
          <w:rFonts w:ascii="Times New Roman" w:hAnsi="Times New Roman"/>
          <w:sz w:val="24"/>
          <w:szCs w:val="24"/>
        </w:rPr>
        <w:t xml:space="preserve">26 </w:t>
      </w:r>
      <w:r w:rsidR="00B31432" w:rsidRPr="006251ED">
        <w:rPr>
          <w:rFonts w:ascii="Times New Roman" w:hAnsi="Times New Roman"/>
          <w:sz w:val="24"/>
          <w:szCs w:val="24"/>
        </w:rPr>
        <w:t xml:space="preserve">cameras to monitor the interior and exterior of the facility and is a significant improvement over the old analog camera system. </w:t>
      </w:r>
    </w:p>
    <w:p w14:paraId="7AC15FE0" w14:textId="77777777" w:rsidR="006251ED" w:rsidRDefault="000E382D" w:rsidP="006251ED">
      <w:pPr>
        <w:jc w:val="both"/>
        <w:rPr>
          <w:rFonts w:ascii="Times New Roman" w:hAnsi="Times New Roman"/>
          <w:sz w:val="24"/>
          <w:szCs w:val="24"/>
        </w:rPr>
      </w:pPr>
      <w:r w:rsidRPr="006251ED">
        <w:rPr>
          <w:rFonts w:ascii="Times New Roman" w:hAnsi="Times New Roman"/>
          <w:sz w:val="24"/>
          <w:szCs w:val="24"/>
        </w:rPr>
        <w:t xml:space="preserve">All SCDOC facilities utilize the Department of Children and Families Kansas Protection Report Center abuse hotline for clients to make private and anonymous reports of sexual abuse and sexual misconduct.  </w:t>
      </w:r>
    </w:p>
    <w:p w14:paraId="04D82424" w14:textId="67880E95" w:rsidR="00C64C9C" w:rsidRPr="006251ED" w:rsidRDefault="006251ED" w:rsidP="006251ED">
      <w:pPr>
        <w:jc w:val="both"/>
        <w:rPr>
          <w:rFonts w:ascii="Times New Roman" w:hAnsi="Times New Roman"/>
          <w:b/>
          <w:sz w:val="24"/>
          <w:szCs w:val="24"/>
        </w:rPr>
      </w:pPr>
      <w:r>
        <w:rPr>
          <w:rFonts w:ascii="Garamond" w:hAnsi="Garamond"/>
          <w:b/>
          <w:sz w:val="25"/>
          <w:szCs w:val="25"/>
        </w:rPr>
        <w:t>S</w:t>
      </w:r>
      <w:r w:rsidR="00C64C9C" w:rsidRPr="006251ED">
        <w:rPr>
          <w:rFonts w:ascii="Times New Roman" w:hAnsi="Times New Roman"/>
          <w:b/>
          <w:sz w:val="24"/>
          <w:szCs w:val="24"/>
        </w:rPr>
        <w:t xml:space="preserve">ummary </w:t>
      </w:r>
    </w:p>
    <w:p w14:paraId="72EF3E89" w14:textId="77777777" w:rsidR="00E12845" w:rsidRPr="006251ED" w:rsidRDefault="00ED2543" w:rsidP="006251ED">
      <w:pPr>
        <w:jc w:val="both"/>
        <w:rPr>
          <w:rFonts w:ascii="Times New Roman" w:hAnsi="Times New Roman"/>
          <w:sz w:val="24"/>
          <w:szCs w:val="24"/>
        </w:rPr>
      </w:pPr>
      <w:r w:rsidRPr="006251ED">
        <w:rPr>
          <w:rFonts w:ascii="Times New Roman" w:hAnsi="Times New Roman"/>
          <w:sz w:val="24"/>
          <w:szCs w:val="24"/>
        </w:rPr>
        <w:t>SCDOC</w:t>
      </w:r>
      <w:r w:rsidR="00C64C9C" w:rsidRPr="006251ED">
        <w:rPr>
          <w:rFonts w:ascii="Times New Roman" w:hAnsi="Times New Roman"/>
          <w:sz w:val="24"/>
          <w:szCs w:val="24"/>
        </w:rPr>
        <w:t xml:space="preserve"> </w:t>
      </w:r>
      <w:r w:rsidR="00F77BC7" w:rsidRPr="006251ED">
        <w:rPr>
          <w:rFonts w:ascii="Times New Roman" w:hAnsi="Times New Roman"/>
          <w:sz w:val="24"/>
          <w:szCs w:val="24"/>
        </w:rPr>
        <w:t xml:space="preserve">reviewed/revised all PREA policies in </w:t>
      </w:r>
      <w:r w:rsidR="00B91AAF" w:rsidRPr="006251ED">
        <w:rPr>
          <w:rFonts w:ascii="Times New Roman" w:hAnsi="Times New Roman"/>
          <w:sz w:val="24"/>
          <w:szCs w:val="24"/>
        </w:rPr>
        <w:t>2024</w:t>
      </w:r>
      <w:r w:rsidR="00B21B33" w:rsidRPr="006251ED">
        <w:rPr>
          <w:rFonts w:ascii="Times New Roman" w:hAnsi="Times New Roman"/>
          <w:sz w:val="24"/>
          <w:szCs w:val="24"/>
        </w:rPr>
        <w:t>.</w:t>
      </w:r>
      <w:r w:rsidR="00C64C9C" w:rsidRPr="006251ED">
        <w:rPr>
          <w:rFonts w:ascii="Times New Roman" w:hAnsi="Times New Roman"/>
          <w:sz w:val="24"/>
          <w:szCs w:val="24"/>
        </w:rPr>
        <w:t xml:space="preserve">  </w:t>
      </w:r>
      <w:r w:rsidR="00496F28" w:rsidRPr="006251ED">
        <w:rPr>
          <w:rFonts w:ascii="Times New Roman" w:hAnsi="Times New Roman"/>
          <w:sz w:val="24"/>
          <w:szCs w:val="24"/>
        </w:rPr>
        <w:t>Policy and practices are reviewed at a minimum of once annually</w:t>
      </w:r>
      <w:r w:rsidR="004742F5" w:rsidRPr="006251ED">
        <w:rPr>
          <w:rFonts w:ascii="Times New Roman" w:hAnsi="Times New Roman"/>
          <w:sz w:val="24"/>
          <w:szCs w:val="24"/>
        </w:rPr>
        <w:t>, as well as continuous updates to m</w:t>
      </w:r>
      <w:r w:rsidR="00496F28" w:rsidRPr="006251ED">
        <w:rPr>
          <w:rFonts w:ascii="Times New Roman" w:hAnsi="Times New Roman"/>
          <w:sz w:val="24"/>
          <w:szCs w:val="24"/>
        </w:rPr>
        <w:t xml:space="preserve">onitoring technology and staff / client </w:t>
      </w:r>
      <w:r w:rsidR="004742F5" w:rsidRPr="006251ED">
        <w:rPr>
          <w:rFonts w:ascii="Times New Roman" w:hAnsi="Times New Roman"/>
          <w:sz w:val="24"/>
          <w:szCs w:val="24"/>
        </w:rPr>
        <w:t xml:space="preserve">education to focus on the reduction of sexual abuse in SCDOC facilities. </w:t>
      </w:r>
      <w:r w:rsidR="00107042" w:rsidRPr="006251ED">
        <w:rPr>
          <w:rFonts w:ascii="Times New Roman" w:hAnsi="Times New Roman"/>
          <w:sz w:val="24"/>
          <w:szCs w:val="24"/>
        </w:rPr>
        <w:t xml:space="preserve"> Monitoring technology at all locations has been significantly improved and allows for </w:t>
      </w:r>
      <w:r w:rsidR="008204E4" w:rsidRPr="006251ED">
        <w:rPr>
          <w:rFonts w:ascii="Times New Roman" w:hAnsi="Times New Roman"/>
          <w:sz w:val="24"/>
          <w:szCs w:val="24"/>
        </w:rPr>
        <w:t xml:space="preserve">audio in select locations.  </w:t>
      </w:r>
      <w:r w:rsidR="00B17A0B" w:rsidRPr="006251ED">
        <w:rPr>
          <w:rFonts w:ascii="Times New Roman" w:hAnsi="Times New Roman"/>
          <w:sz w:val="24"/>
          <w:szCs w:val="24"/>
        </w:rPr>
        <w:t xml:space="preserve">Audio upgrades will </w:t>
      </w:r>
      <w:r w:rsidR="00B061C8" w:rsidRPr="006251ED">
        <w:rPr>
          <w:rFonts w:ascii="Times New Roman" w:hAnsi="Times New Roman"/>
          <w:sz w:val="24"/>
          <w:szCs w:val="24"/>
        </w:rPr>
        <w:t>continue</w:t>
      </w:r>
      <w:r w:rsidR="00B91AAF" w:rsidRPr="006251ED">
        <w:rPr>
          <w:rFonts w:ascii="Times New Roman" w:hAnsi="Times New Roman"/>
          <w:sz w:val="24"/>
          <w:szCs w:val="24"/>
        </w:rPr>
        <w:t xml:space="preserve"> to </w:t>
      </w:r>
      <w:r w:rsidR="00B17A0B" w:rsidRPr="006251ED">
        <w:rPr>
          <w:rFonts w:ascii="Times New Roman" w:hAnsi="Times New Roman"/>
          <w:sz w:val="24"/>
          <w:szCs w:val="24"/>
        </w:rPr>
        <w:t xml:space="preserve">be a top priority for </w:t>
      </w:r>
      <w:r w:rsidR="009C46B9" w:rsidRPr="006251ED">
        <w:rPr>
          <w:rFonts w:ascii="Times New Roman" w:hAnsi="Times New Roman"/>
          <w:sz w:val="24"/>
          <w:szCs w:val="24"/>
        </w:rPr>
        <w:t xml:space="preserve">consideration in </w:t>
      </w:r>
      <w:r w:rsidR="00B17A0B" w:rsidRPr="006251ED">
        <w:rPr>
          <w:rFonts w:ascii="Times New Roman" w:hAnsi="Times New Roman"/>
          <w:sz w:val="24"/>
          <w:szCs w:val="24"/>
        </w:rPr>
        <w:t xml:space="preserve">all DOC facilities. </w:t>
      </w:r>
    </w:p>
    <w:p w14:paraId="5F3EF638" w14:textId="1CB42010" w:rsidR="00E12845" w:rsidRPr="006251ED" w:rsidRDefault="007F675B" w:rsidP="006251ED">
      <w:pPr>
        <w:jc w:val="both"/>
        <w:rPr>
          <w:rFonts w:ascii="Times New Roman" w:hAnsi="Times New Roman"/>
          <w:sz w:val="24"/>
          <w:szCs w:val="24"/>
        </w:rPr>
      </w:pPr>
      <w:r w:rsidRPr="006251ED">
        <w:rPr>
          <w:rFonts w:ascii="Times New Roman" w:hAnsi="Times New Roman"/>
          <w:sz w:val="24"/>
          <w:szCs w:val="24"/>
        </w:rPr>
        <w:t>The</w:t>
      </w:r>
      <w:r w:rsidR="008D74A2" w:rsidRPr="006251ED">
        <w:rPr>
          <w:rFonts w:ascii="Times New Roman" w:hAnsi="Times New Roman"/>
          <w:sz w:val="24"/>
          <w:szCs w:val="24"/>
        </w:rPr>
        <w:t xml:space="preserve"> PREA Sexual Abuse Review Board</w:t>
      </w:r>
      <w:r w:rsidR="00E133F3" w:rsidRPr="006251ED">
        <w:rPr>
          <w:rFonts w:ascii="Times New Roman" w:hAnsi="Times New Roman"/>
          <w:sz w:val="24"/>
          <w:szCs w:val="24"/>
        </w:rPr>
        <w:t xml:space="preserve"> (SARB) </w:t>
      </w:r>
      <w:r w:rsidRPr="006251ED">
        <w:rPr>
          <w:rFonts w:ascii="Times New Roman" w:hAnsi="Times New Roman"/>
          <w:sz w:val="24"/>
          <w:szCs w:val="24"/>
        </w:rPr>
        <w:t xml:space="preserve">was established in 2015 and </w:t>
      </w:r>
      <w:r w:rsidR="008D74A2" w:rsidRPr="006251ED">
        <w:rPr>
          <w:rFonts w:ascii="Times New Roman" w:hAnsi="Times New Roman"/>
          <w:sz w:val="24"/>
          <w:szCs w:val="24"/>
        </w:rPr>
        <w:t>appointment</w:t>
      </w:r>
      <w:r w:rsidR="00E133F3" w:rsidRPr="006251ED">
        <w:rPr>
          <w:rFonts w:ascii="Times New Roman" w:hAnsi="Times New Roman"/>
          <w:sz w:val="24"/>
          <w:szCs w:val="24"/>
        </w:rPr>
        <w:t>s</w:t>
      </w:r>
      <w:r w:rsidR="008D74A2" w:rsidRPr="006251ED">
        <w:rPr>
          <w:rFonts w:ascii="Times New Roman" w:hAnsi="Times New Roman"/>
          <w:sz w:val="24"/>
          <w:szCs w:val="24"/>
        </w:rPr>
        <w:t xml:space="preserve"> </w:t>
      </w:r>
      <w:r w:rsidRPr="006251ED">
        <w:rPr>
          <w:rFonts w:ascii="Times New Roman" w:hAnsi="Times New Roman"/>
          <w:sz w:val="24"/>
          <w:szCs w:val="24"/>
        </w:rPr>
        <w:t xml:space="preserve">serve for </w:t>
      </w:r>
      <w:r w:rsidR="008204E4" w:rsidRPr="006251ED">
        <w:rPr>
          <w:rFonts w:ascii="Times New Roman" w:hAnsi="Times New Roman"/>
          <w:sz w:val="24"/>
          <w:szCs w:val="24"/>
        </w:rPr>
        <w:t>one-year</w:t>
      </w:r>
      <w:r w:rsidRPr="006251ED">
        <w:rPr>
          <w:rFonts w:ascii="Times New Roman" w:hAnsi="Times New Roman"/>
          <w:sz w:val="24"/>
          <w:szCs w:val="24"/>
        </w:rPr>
        <w:t xml:space="preserve"> terms</w:t>
      </w:r>
      <w:r w:rsidR="008D74A2" w:rsidRPr="006251ED">
        <w:rPr>
          <w:rFonts w:ascii="Times New Roman" w:hAnsi="Times New Roman"/>
          <w:sz w:val="24"/>
          <w:szCs w:val="24"/>
        </w:rPr>
        <w:t xml:space="preserve">.  The review board conducts a review of every sexual </w:t>
      </w:r>
      <w:r w:rsidR="00B17A0B" w:rsidRPr="006251ED">
        <w:rPr>
          <w:rFonts w:ascii="Times New Roman" w:hAnsi="Times New Roman"/>
          <w:sz w:val="24"/>
          <w:szCs w:val="24"/>
        </w:rPr>
        <w:t>misconduct</w:t>
      </w:r>
      <w:r w:rsidR="008D74A2" w:rsidRPr="006251ED">
        <w:rPr>
          <w:rFonts w:ascii="Times New Roman" w:hAnsi="Times New Roman"/>
          <w:sz w:val="24"/>
          <w:szCs w:val="24"/>
        </w:rPr>
        <w:t xml:space="preserve"> investigation.  The board meets </w:t>
      </w:r>
      <w:r w:rsidR="00E133F3" w:rsidRPr="006251ED">
        <w:rPr>
          <w:rFonts w:ascii="Times New Roman" w:hAnsi="Times New Roman"/>
          <w:sz w:val="24"/>
          <w:szCs w:val="24"/>
        </w:rPr>
        <w:t xml:space="preserve">within 30 days of the conclusion of every </w:t>
      </w:r>
      <w:r w:rsidR="009B7496" w:rsidRPr="006251ED">
        <w:rPr>
          <w:rFonts w:ascii="Times New Roman" w:hAnsi="Times New Roman"/>
          <w:sz w:val="24"/>
          <w:szCs w:val="24"/>
        </w:rPr>
        <w:t xml:space="preserve">internal </w:t>
      </w:r>
      <w:r w:rsidR="00E133F3" w:rsidRPr="006251ED">
        <w:rPr>
          <w:rFonts w:ascii="Times New Roman" w:hAnsi="Times New Roman"/>
          <w:sz w:val="24"/>
          <w:szCs w:val="24"/>
        </w:rPr>
        <w:t>investigation and makes recommendations within the guidelines of the PREA standard 115.86.</w:t>
      </w:r>
      <w:r w:rsidR="00BD5D2F" w:rsidRPr="006251ED">
        <w:rPr>
          <w:rFonts w:ascii="Times New Roman" w:hAnsi="Times New Roman"/>
          <w:sz w:val="24"/>
          <w:szCs w:val="24"/>
        </w:rPr>
        <w:t xml:space="preserve">  Any staff involved in sexual misconduct with substantiated findings may be terminated from employment and are not eligible for rehire</w:t>
      </w:r>
      <w:r w:rsidR="00E416A4" w:rsidRPr="006251ED">
        <w:rPr>
          <w:rFonts w:ascii="Times New Roman" w:hAnsi="Times New Roman"/>
          <w:sz w:val="24"/>
          <w:szCs w:val="24"/>
        </w:rPr>
        <w:t xml:space="preserve"> in our </w:t>
      </w:r>
      <w:r w:rsidR="00107042" w:rsidRPr="006251ED">
        <w:rPr>
          <w:rFonts w:ascii="Times New Roman" w:hAnsi="Times New Roman"/>
          <w:sz w:val="24"/>
          <w:szCs w:val="24"/>
        </w:rPr>
        <w:t>d</w:t>
      </w:r>
      <w:r w:rsidR="00A81316" w:rsidRPr="006251ED">
        <w:rPr>
          <w:rFonts w:ascii="Times New Roman" w:hAnsi="Times New Roman"/>
          <w:sz w:val="24"/>
          <w:szCs w:val="24"/>
        </w:rPr>
        <w:t>epartment</w:t>
      </w:r>
      <w:r w:rsidR="00BD5D2F" w:rsidRPr="006251ED">
        <w:rPr>
          <w:rFonts w:ascii="Times New Roman" w:hAnsi="Times New Roman"/>
          <w:sz w:val="24"/>
          <w:szCs w:val="24"/>
        </w:rPr>
        <w:t xml:space="preserve">. </w:t>
      </w:r>
      <w:r w:rsidR="00965F1B" w:rsidRPr="006251ED">
        <w:rPr>
          <w:rFonts w:ascii="Times New Roman" w:hAnsi="Times New Roman"/>
          <w:sz w:val="24"/>
          <w:szCs w:val="24"/>
        </w:rPr>
        <w:t>All PREA investigations were reviewed within 30 days by the SARB and PCMs</w:t>
      </w:r>
      <w:r w:rsidR="008204E4" w:rsidRPr="006251ED">
        <w:rPr>
          <w:rFonts w:ascii="Times New Roman" w:hAnsi="Times New Roman"/>
          <w:sz w:val="24"/>
          <w:szCs w:val="24"/>
        </w:rPr>
        <w:t xml:space="preserve"> / Primary Investigators</w:t>
      </w:r>
      <w:r w:rsidR="00965F1B" w:rsidRPr="006251ED">
        <w:rPr>
          <w:rFonts w:ascii="Times New Roman" w:hAnsi="Times New Roman"/>
          <w:sz w:val="24"/>
          <w:szCs w:val="24"/>
        </w:rPr>
        <w:t xml:space="preserve"> provided </w:t>
      </w:r>
      <w:r w:rsidR="00405FBB" w:rsidRPr="006251ED">
        <w:rPr>
          <w:rFonts w:ascii="Times New Roman" w:hAnsi="Times New Roman"/>
          <w:sz w:val="24"/>
          <w:szCs w:val="24"/>
        </w:rPr>
        <w:t>satisfactory</w:t>
      </w:r>
      <w:r w:rsidR="00965F1B" w:rsidRPr="006251ED">
        <w:rPr>
          <w:rFonts w:ascii="Times New Roman" w:hAnsi="Times New Roman"/>
          <w:sz w:val="24"/>
          <w:szCs w:val="24"/>
        </w:rPr>
        <w:t xml:space="preserve"> corrective action in </w:t>
      </w:r>
      <w:r w:rsidR="00B061C8" w:rsidRPr="006251ED">
        <w:rPr>
          <w:rFonts w:ascii="Times New Roman" w:hAnsi="Times New Roman"/>
          <w:sz w:val="24"/>
          <w:szCs w:val="24"/>
        </w:rPr>
        <w:t>2024</w:t>
      </w:r>
      <w:r w:rsidR="00965F1B" w:rsidRPr="006251ED">
        <w:rPr>
          <w:rFonts w:ascii="Times New Roman" w:hAnsi="Times New Roman"/>
          <w:sz w:val="24"/>
          <w:szCs w:val="24"/>
        </w:rPr>
        <w:t>.</w:t>
      </w:r>
    </w:p>
    <w:p w14:paraId="0D78A447" w14:textId="077B6E85" w:rsidR="004D3C0A" w:rsidRPr="006251ED" w:rsidRDefault="00861506" w:rsidP="006251ED">
      <w:pPr>
        <w:jc w:val="both"/>
        <w:rPr>
          <w:rFonts w:ascii="Times New Roman" w:hAnsi="Times New Roman"/>
          <w:sz w:val="24"/>
          <w:szCs w:val="24"/>
        </w:rPr>
      </w:pPr>
      <w:r w:rsidRPr="006251ED">
        <w:rPr>
          <w:rFonts w:ascii="Times New Roman" w:hAnsi="Times New Roman"/>
          <w:sz w:val="24"/>
          <w:szCs w:val="24"/>
        </w:rPr>
        <w:t>Informational b</w:t>
      </w:r>
      <w:r w:rsidR="00E12845" w:rsidRPr="006251ED">
        <w:rPr>
          <w:rFonts w:ascii="Times New Roman" w:hAnsi="Times New Roman"/>
          <w:sz w:val="24"/>
          <w:szCs w:val="24"/>
        </w:rPr>
        <w:t xml:space="preserve">rochures and posters </w:t>
      </w:r>
      <w:r w:rsidR="00AF3A4F" w:rsidRPr="006251ED">
        <w:rPr>
          <w:rFonts w:ascii="Times New Roman" w:hAnsi="Times New Roman"/>
          <w:sz w:val="24"/>
          <w:szCs w:val="24"/>
        </w:rPr>
        <w:t xml:space="preserve">(English and Spanish) </w:t>
      </w:r>
      <w:r w:rsidR="003F193A" w:rsidRPr="006251ED">
        <w:rPr>
          <w:rFonts w:ascii="Times New Roman" w:hAnsi="Times New Roman"/>
          <w:sz w:val="24"/>
          <w:szCs w:val="24"/>
        </w:rPr>
        <w:t xml:space="preserve">continue to be </w:t>
      </w:r>
      <w:r w:rsidR="00E12845" w:rsidRPr="006251ED">
        <w:rPr>
          <w:rFonts w:ascii="Times New Roman" w:hAnsi="Times New Roman"/>
          <w:sz w:val="24"/>
          <w:szCs w:val="24"/>
        </w:rPr>
        <w:t>distributed to all the SCDOC facilities for clients, fa</w:t>
      </w:r>
      <w:r w:rsidRPr="006251ED">
        <w:rPr>
          <w:rFonts w:ascii="Times New Roman" w:hAnsi="Times New Roman"/>
          <w:sz w:val="24"/>
          <w:szCs w:val="24"/>
        </w:rPr>
        <w:t xml:space="preserve">milies, volunteers and contractors on reporting sexual abuse and sexual misconduct.  The Sedgwick County </w:t>
      </w:r>
      <w:r w:rsidR="00A81316" w:rsidRPr="006251ED">
        <w:rPr>
          <w:rFonts w:ascii="Times New Roman" w:hAnsi="Times New Roman"/>
          <w:sz w:val="24"/>
          <w:szCs w:val="24"/>
        </w:rPr>
        <w:t>Department</w:t>
      </w:r>
      <w:r w:rsidRPr="006251ED">
        <w:rPr>
          <w:rFonts w:ascii="Times New Roman" w:hAnsi="Times New Roman"/>
          <w:sz w:val="24"/>
          <w:szCs w:val="24"/>
        </w:rPr>
        <w:t xml:space="preserve"> of Corrections </w:t>
      </w:r>
      <w:r w:rsidR="009D6C40" w:rsidRPr="006251ED">
        <w:rPr>
          <w:rFonts w:ascii="Times New Roman" w:hAnsi="Times New Roman"/>
          <w:sz w:val="24"/>
          <w:szCs w:val="24"/>
        </w:rPr>
        <w:t>website</w:t>
      </w:r>
      <w:r w:rsidRPr="006251ED">
        <w:rPr>
          <w:rFonts w:ascii="Times New Roman" w:hAnsi="Times New Roman"/>
          <w:sz w:val="24"/>
          <w:szCs w:val="24"/>
        </w:rPr>
        <w:t xml:space="preserve"> </w:t>
      </w:r>
      <w:r w:rsidR="00281390" w:rsidRPr="006251ED">
        <w:rPr>
          <w:rFonts w:ascii="Times New Roman" w:hAnsi="Times New Roman"/>
          <w:sz w:val="24"/>
          <w:szCs w:val="24"/>
        </w:rPr>
        <w:t xml:space="preserve">contains PREA Annual Reports, PREA resources and the </w:t>
      </w:r>
      <w:hyperlink r:id="rId9" w:history="1">
        <w:r w:rsidR="00281390" w:rsidRPr="006251ED">
          <w:rPr>
            <w:rStyle w:val="Hyperlink"/>
            <w:rFonts w:ascii="Times New Roman" w:hAnsi="Times New Roman"/>
            <w:sz w:val="24"/>
            <w:szCs w:val="24"/>
          </w:rPr>
          <w:t>Online PREA Training for Volunteers and Contractors</w:t>
        </w:r>
      </w:hyperlink>
      <w:r w:rsidRPr="006251ED">
        <w:rPr>
          <w:rFonts w:ascii="Times New Roman" w:hAnsi="Times New Roman"/>
          <w:sz w:val="24"/>
          <w:szCs w:val="24"/>
        </w:rPr>
        <w:t>.</w:t>
      </w:r>
      <w:r w:rsidR="00536935" w:rsidRPr="006251ED">
        <w:rPr>
          <w:rFonts w:ascii="Times New Roman" w:hAnsi="Times New Roman"/>
          <w:sz w:val="24"/>
          <w:szCs w:val="24"/>
        </w:rPr>
        <w:t xml:space="preserve"> </w:t>
      </w:r>
      <w:r w:rsidR="00465DC8" w:rsidRPr="006251ED">
        <w:rPr>
          <w:rFonts w:ascii="Times New Roman" w:hAnsi="Times New Roman"/>
          <w:sz w:val="24"/>
          <w:szCs w:val="24"/>
        </w:rPr>
        <w:t xml:space="preserve"> </w:t>
      </w:r>
      <w:r w:rsidR="00A97E2C">
        <w:rPr>
          <w:rFonts w:ascii="Times New Roman" w:hAnsi="Times New Roman"/>
          <w:sz w:val="24"/>
          <w:szCs w:val="24"/>
        </w:rPr>
        <w:t>PREA training</w:t>
      </w:r>
      <w:r w:rsidR="00536935" w:rsidRPr="006251ED">
        <w:rPr>
          <w:rFonts w:ascii="Times New Roman" w:hAnsi="Times New Roman"/>
          <w:sz w:val="24"/>
          <w:szCs w:val="24"/>
        </w:rPr>
        <w:t xml:space="preserve"> </w:t>
      </w:r>
      <w:r w:rsidR="00A97E2C">
        <w:rPr>
          <w:rFonts w:ascii="Times New Roman" w:hAnsi="Times New Roman"/>
          <w:sz w:val="24"/>
          <w:szCs w:val="24"/>
        </w:rPr>
        <w:t>handouts</w:t>
      </w:r>
      <w:r w:rsidR="00536935" w:rsidRPr="006251ED">
        <w:rPr>
          <w:rFonts w:ascii="Times New Roman" w:hAnsi="Times New Roman"/>
          <w:sz w:val="24"/>
          <w:szCs w:val="24"/>
        </w:rPr>
        <w:t xml:space="preserve"> were developed for all SCDOC facilities </w:t>
      </w:r>
      <w:r w:rsidR="004D3C0A" w:rsidRPr="006251ED">
        <w:rPr>
          <w:rFonts w:ascii="Times New Roman" w:hAnsi="Times New Roman"/>
          <w:sz w:val="24"/>
          <w:szCs w:val="24"/>
        </w:rPr>
        <w:t>in 2019 and continue</w:t>
      </w:r>
      <w:r w:rsidR="00536935" w:rsidRPr="006251ED">
        <w:rPr>
          <w:rFonts w:ascii="Times New Roman" w:hAnsi="Times New Roman"/>
          <w:sz w:val="24"/>
          <w:szCs w:val="24"/>
        </w:rPr>
        <w:t xml:space="preserve"> </w:t>
      </w:r>
      <w:r w:rsidR="004D3C0A" w:rsidRPr="006251ED">
        <w:rPr>
          <w:rFonts w:ascii="Times New Roman" w:hAnsi="Times New Roman"/>
          <w:sz w:val="24"/>
          <w:szCs w:val="24"/>
        </w:rPr>
        <w:t xml:space="preserve">to be an educational resource for staff.  </w:t>
      </w:r>
    </w:p>
    <w:sectPr w:rsidR="004D3C0A" w:rsidRPr="006251ED" w:rsidSect="0025600A">
      <w:headerReference w:type="default" r:id="rId10"/>
      <w:footerReference w:type="default" r:id="rId11"/>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6C215" w14:textId="77777777" w:rsidR="00B300C3" w:rsidRDefault="00B300C3" w:rsidP="003E4F35">
      <w:pPr>
        <w:spacing w:after="0" w:line="240" w:lineRule="auto"/>
      </w:pPr>
      <w:r>
        <w:separator/>
      </w:r>
    </w:p>
  </w:endnote>
  <w:endnote w:type="continuationSeparator" w:id="0">
    <w:p w14:paraId="61B78F91" w14:textId="77777777" w:rsidR="00B300C3" w:rsidRDefault="00B300C3" w:rsidP="003E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CF06F" w14:textId="4153D5C2" w:rsidR="00AE4B01" w:rsidRDefault="002B1C4F">
    <w:pPr>
      <w:pStyle w:val="Footer"/>
      <w:jc w:val="center"/>
    </w:pPr>
    <w:r>
      <w:ptab w:relativeTo="margin" w:alignment="right" w:leader="none"/>
    </w:r>
    <w:r w:rsidR="00AE4B01">
      <w:fldChar w:fldCharType="begin"/>
    </w:r>
    <w:r w:rsidR="00AE4B01">
      <w:instrText xml:space="preserve"> PAGE   \* MERGEFORMAT </w:instrText>
    </w:r>
    <w:r w:rsidR="00AE4B01">
      <w:fldChar w:fldCharType="separate"/>
    </w:r>
    <w:r w:rsidR="0032319A">
      <w:rPr>
        <w:noProof/>
      </w:rPr>
      <w:t>10</w:t>
    </w:r>
    <w:r w:rsidR="00AE4B01">
      <w:rPr>
        <w:noProof/>
      </w:rPr>
      <w:fldChar w:fldCharType="end"/>
    </w:r>
  </w:p>
  <w:p w14:paraId="2D20A5DF" w14:textId="77777777" w:rsidR="00AE4B01" w:rsidRDefault="00AE4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355ED" w14:textId="77777777" w:rsidR="00B300C3" w:rsidRDefault="00B300C3" w:rsidP="003E4F35">
      <w:pPr>
        <w:spacing w:after="0" w:line="240" w:lineRule="auto"/>
      </w:pPr>
      <w:r>
        <w:separator/>
      </w:r>
    </w:p>
  </w:footnote>
  <w:footnote w:type="continuationSeparator" w:id="0">
    <w:p w14:paraId="2EE145B0" w14:textId="77777777" w:rsidR="00B300C3" w:rsidRDefault="00B300C3" w:rsidP="003E4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428"/>
      <w:gridCol w:w="1372"/>
    </w:tblGrid>
    <w:tr w:rsidR="00AE4B01" w:rsidRPr="00D05D3A" w14:paraId="10193E8B" w14:textId="77777777" w:rsidTr="003E4F35">
      <w:trPr>
        <w:trHeight w:val="288"/>
      </w:trPr>
      <w:tc>
        <w:tcPr>
          <w:tcW w:w="7765" w:type="dxa"/>
        </w:tcPr>
        <w:p w14:paraId="48C46221" w14:textId="77777777" w:rsidR="00AE4B01" w:rsidRPr="00D05D3A" w:rsidRDefault="00AE4B01" w:rsidP="00706A7A">
          <w:pPr>
            <w:pStyle w:val="Header"/>
            <w:spacing w:after="0" w:line="240" w:lineRule="auto"/>
            <w:jc w:val="right"/>
            <w:rPr>
              <w:rFonts w:ascii="Garamond" w:eastAsia="Times New Roman" w:hAnsi="Garamond"/>
              <w:sz w:val="44"/>
              <w:szCs w:val="36"/>
            </w:rPr>
          </w:pPr>
          <w:r w:rsidRPr="00D05D3A">
            <w:rPr>
              <w:rFonts w:ascii="Garamond" w:eastAsia="Times New Roman" w:hAnsi="Garamond"/>
              <w:sz w:val="44"/>
              <w:szCs w:val="36"/>
            </w:rPr>
            <w:t xml:space="preserve">Sedgwick County Department of Corrections  </w:t>
          </w:r>
        </w:p>
        <w:p w14:paraId="30F55C16" w14:textId="77777777" w:rsidR="00AE4B01" w:rsidRPr="00D05D3A" w:rsidRDefault="00AE4B01" w:rsidP="00706A7A">
          <w:pPr>
            <w:pStyle w:val="Header"/>
            <w:spacing w:after="0" w:line="240" w:lineRule="auto"/>
            <w:jc w:val="right"/>
            <w:rPr>
              <w:rFonts w:ascii="Garamond" w:eastAsia="Times New Roman" w:hAnsi="Garamond"/>
              <w:sz w:val="40"/>
              <w:szCs w:val="36"/>
            </w:rPr>
          </w:pPr>
          <w:r w:rsidRPr="00D05D3A">
            <w:rPr>
              <w:rFonts w:ascii="Garamond" w:eastAsia="Times New Roman" w:hAnsi="Garamond"/>
              <w:sz w:val="44"/>
              <w:szCs w:val="36"/>
            </w:rPr>
            <w:t xml:space="preserve">PREA Annual Report </w:t>
          </w:r>
        </w:p>
      </w:tc>
      <w:tc>
        <w:tcPr>
          <w:tcW w:w="1105" w:type="dxa"/>
        </w:tcPr>
        <w:p w14:paraId="4FDA9880" w14:textId="77777777" w:rsidR="00AE4B01" w:rsidRPr="00D05D3A" w:rsidRDefault="004B16AC" w:rsidP="004B16AC">
          <w:pPr>
            <w:pStyle w:val="Header"/>
            <w:rPr>
              <w:rFonts w:ascii="Garamond" w:eastAsia="Times New Roman" w:hAnsi="Garamond"/>
              <w:b/>
              <w:bCs/>
              <w:color w:val="4F81BD"/>
              <w:sz w:val="40"/>
              <w:szCs w:val="36"/>
            </w:rPr>
          </w:pPr>
          <w:r w:rsidRPr="00D05D3A">
            <w:rPr>
              <w:rFonts w:ascii="Garamond" w:eastAsia="Times New Roman" w:hAnsi="Garamond"/>
              <w:b/>
              <w:bCs/>
              <w:sz w:val="48"/>
              <w:szCs w:val="36"/>
            </w:rPr>
            <w:t>202</w:t>
          </w:r>
          <w:r>
            <w:rPr>
              <w:rFonts w:ascii="Garamond" w:eastAsia="Times New Roman" w:hAnsi="Garamond"/>
              <w:b/>
              <w:bCs/>
              <w:sz w:val="48"/>
              <w:szCs w:val="36"/>
            </w:rPr>
            <w:t>4</w:t>
          </w:r>
        </w:p>
      </w:tc>
    </w:tr>
  </w:tbl>
  <w:p w14:paraId="33811E62" w14:textId="77777777" w:rsidR="00AE4B01" w:rsidRPr="00D05D3A" w:rsidRDefault="00AE4B01" w:rsidP="008708AA">
    <w:pPr>
      <w:pStyle w:val="Header"/>
      <w:rPr>
        <w:rFonts w:ascii="Garamond" w:hAnsi="Garamond"/>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2E3"/>
    <w:multiLevelType w:val="hybridMultilevel"/>
    <w:tmpl w:val="E24C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45067"/>
    <w:multiLevelType w:val="hybridMultilevel"/>
    <w:tmpl w:val="1126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32326"/>
    <w:multiLevelType w:val="hybridMultilevel"/>
    <w:tmpl w:val="377850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B7346"/>
    <w:multiLevelType w:val="hybridMultilevel"/>
    <w:tmpl w:val="19926C1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1476CE"/>
    <w:multiLevelType w:val="hybridMultilevel"/>
    <w:tmpl w:val="3BB8504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8713ED"/>
    <w:multiLevelType w:val="hybridMultilevel"/>
    <w:tmpl w:val="35D21D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132A0"/>
    <w:multiLevelType w:val="hybridMultilevel"/>
    <w:tmpl w:val="BF14FDB8"/>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2EE9560D"/>
    <w:multiLevelType w:val="hybridMultilevel"/>
    <w:tmpl w:val="E0469E7C"/>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15:restartNumberingAfterBreak="0">
    <w:nsid w:val="316F297F"/>
    <w:multiLevelType w:val="hybridMultilevel"/>
    <w:tmpl w:val="37B688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C767B0"/>
    <w:multiLevelType w:val="hybridMultilevel"/>
    <w:tmpl w:val="43F0B4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C6769"/>
    <w:multiLevelType w:val="hybridMultilevel"/>
    <w:tmpl w:val="D6424C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6E16D6"/>
    <w:multiLevelType w:val="hybridMultilevel"/>
    <w:tmpl w:val="9A10E54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6"/>
  </w:num>
  <w:num w:numId="6">
    <w:abstractNumId w:val="8"/>
  </w:num>
  <w:num w:numId="7">
    <w:abstractNumId w:val="1"/>
  </w:num>
  <w:num w:numId="8">
    <w:abstractNumId w:val="9"/>
  </w:num>
  <w:num w:numId="9">
    <w:abstractNumId w:val="5"/>
  </w:num>
  <w:num w:numId="10">
    <w:abstractNumId w:val="2"/>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2F"/>
    <w:rsid w:val="00003072"/>
    <w:rsid w:val="000033EF"/>
    <w:rsid w:val="0000362F"/>
    <w:rsid w:val="000042B6"/>
    <w:rsid w:val="00005F2C"/>
    <w:rsid w:val="0001246C"/>
    <w:rsid w:val="00022887"/>
    <w:rsid w:val="0002304C"/>
    <w:rsid w:val="00025C6B"/>
    <w:rsid w:val="00026B7C"/>
    <w:rsid w:val="0003249D"/>
    <w:rsid w:val="000368C5"/>
    <w:rsid w:val="00044A2B"/>
    <w:rsid w:val="00054DDA"/>
    <w:rsid w:val="0005588D"/>
    <w:rsid w:val="000569F1"/>
    <w:rsid w:val="00060D61"/>
    <w:rsid w:val="00061D0D"/>
    <w:rsid w:val="000918A6"/>
    <w:rsid w:val="00092D17"/>
    <w:rsid w:val="00095ADD"/>
    <w:rsid w:val="000961B0"/>
    <w:rsid w:val="000A2A87"/>
    <w:rsid w:val="000A3092"/>
    <w:rsid w:val="000A6507"/>
    <w:rsid w:val="000A72E3"/>
    <w:rsid w:val="000B27B4"/>
    <w:rsid w:val="000B50E3"/>
    <w:rsid w:val="000B64BD"/>
    <w:rsid w:val="000C6CDA"/>
    <w:rsid w:val="000C7EB7"/>
    <w:rsid w:val="000E1760"/>
    <w:rsid w:val="000E382D"/>
    <w:rsid w:val="000E3CBB"/>
    <w:rsid w:val="000E64CE"/>
    <w:rsid w:val="000F5115"/>
    <w:rsid w:val="000F618F"/>
    <w:rsid w:val="000F61BF"/>
    <w:rsid w:val="00107042"/>
    <w:rsid w:val="00120F4F"/>
    <w:rsid w:val="0012205B"/>
    <w:rsid w:val="001301D9"/>
    <w:rsid w:val="00134FE8"/>
    <w:rsid w:val="00136C73"/>
    <w:rsid w:val="00147109"/>
    <w:rsid w:val="00150432"/>
    <w:rsid w:val="00150FE5"/>
    <w:rsid w:val="00164958"/>
    <w:rsid w:val="001678D7"/>
    <w:rsid w:val="00171B34"/>
    <w:rsid w:val="00182A51"/>
    <w:rsid w:val="00185D98"/>
    <w:rsid w:val="00190EEF"/>
    <w:rsid w:val="00191BB1"/>
    <w:rsid w:val="001A1B2A"/>
    <w:rsid w:val="001B02B4"/>
    <w:rsid w:val="001B227D"/>
    <w:rsid w:val="001B5708"/>
    <w:rsid w:val="001B6993"/>
    <w:rsid w:val="001C304D"/>
    <w:rsid w:val="001D4F3A"/>
    <w:rsid w:val="001D7A90"/>
    <w:rsid w:val="001E499A"/>
    <w:rsid w:val="001E4B44"/>
    <w:rsid w:val="001E7A9D"/>
    <w:rsid w:val="001F0BC2"/>
    <w:rsid w:val="00200946"/>
    <w:rsid w:val="00212EED"/>
    <w:rsid w:val="00213510"/>
    <w:rsid w:val="0021411A"/>
    <w:rsid w:val="002166DB"/>
    <w:rsid w:val="00217786"/>
    <w:rsid w:val="00220DB1"/>
    <w:rsid w:val="00222156"/>
    <w:rsid w:val="002257BA"/>
    <w:rsid w:val="00232696"/>
    <w:rsid w:val="00234E13"/>
    <w:rsid w:val="00240490"/>
    <w:rsid w:val="002413CA"/>
    <w:rsid w:val="00242307"/>
    <w:rsid w:val="0025600A"/>
    <w:rsid w:val="00257975"/>
    <w:rsid w:val="002621E7"/>
    <w:rsid w:val="00281390"/>
    <w:rsid w:val="00281C85"/>
    <w:rsid w:val="00286A0F"/>
    <w:rsid w:val="00290CDA"/>
    <w:rsid w:val="002961B3"/>
    <w:rsid w:val="002A2C23"/>
    <w:rsid w:val="002A6FE7"/>
    <w:rsid w:val="002B1C4F"/>
    <w:rsid w:val="002B283F"/>
    <w:rsid w:val="002B3AC1"/>
    <w:rsid w:val="002C012D"/>
    <w:rsid w:val="002C7F40"/>
    <w:rsid w:val="002D6A3F"/>
    <w:rsid w:val="002F1FA8"/>
    <w:rsid w:val="003077F7"/>
    <w:rsid w:val="00307E2F"/>
    <w:rsid w:val="00312636"/>
    <w:rsid w:val="0032319A"/>
    <w:rsid w:val="00323716"/>
    <w:rsid w:val="00323913"/>
    <w:rsid w:val="00326EF0"/>
    <w:rsid w:val="003422C0"/>
    <w:rsid w:val="003465D3"/>
    <w:rsid w:val="00346C0E"/>
    <w:rsid w:val="00350780"/>
    <w:rsid w:val="00350AA0"/>
    <w:rsid w:val="003566B8"/>
    <w:rsid w:val="00364BF7"/>
    <w:rsid w:val="00365781"/>
    <w:rsid w:val="0037392E"/>
    <w:rsid w:val="003740E2"/>
    <w:rsid w:val="00392248"/>
    <w:rsid w:val="003B06D7"/>
    <w:rsid w:val="003B1AA3"/>
    <w:rsid w:val="003C32D4"/>
    <w:rsid w:val="003E0F1C"/>
    <w:rsid w:val="003E4F35"/>
    <w:rsid w:val="003F193A"/>
    <w:rsid w:val="003F477C"/>
    <w:rsid w:val="00405FBB"/>
    <w:rsid w:val="00421B15"/>
    <w:rsid w:val="00425C03"/>
    <w:rsid w:val="00432490"/>
    <w:rsid w:val="0044173F"/>
    <w:rsid w:val="00443356"/>
    <w:rsid w:val="00443D16"/>
    <w:rsid w:val="00446FC3"/>
    <w:rsid w:val="00457E9C"/>
    <w:rsid w:val="0046152B"/>
    <w:rsid w:val="00465DC8"/>
    <w:rsid w:val="00472991"/>
    <w:rsid w:val="00472C60"/>
    <w:rsid w:val="004742F5"/>
    <w:rsid w:val="00475D6C"/>
    <w:rsid w:val="004764E3"/>
    <w:rsid w:val="00485950"/>
    <w:rsid w:val="004874BF"/>
    <w:rsid w:val="00493144"/>
    <w:rsid w:val="00496F28"/>
    <w:rsid w:val="004A24DC"/>
    <w:rsid w:val="004A4A3D"/>
    <w:rsid w:val="004A7662"/>
    <w:rsid w:val="004B16AC"/>
    <w:rsid w:val="004B7C4E"/>
    <w:rsid w:val="004C4420"/>
    <w:rsid w:val="004D3C0A"/>
    <w:rsid w:val="004D5409"/>
    <w:rsid w:val="004D5DFD"/>
    <w:rsid w:val="004D65FD"/>
    <w:rsid w:val="004D7381"/>
    <w:rsid w:val="004F426C"/>
    <w:rsid w:val="004F64A8"/>
    <w:rsid w:val="004F7474"/>
    <w:rsid w:val="00512C9B"/>
    <w:rsid w:val="00527D00"/>
    <w:rsid w:val="00532C53"/>
    <w:rsid w:val="00536935"/>
    <w:rsid w:val="00540DC5"/>
    <w:rsid w:val="00542CC3"/>
    <w:rsid w:val="00557AC0"/>
    <w:rsid w:val="00561435"/>
    <w:rsid w:val="005702DB"/>
    <w:rsid w:val="005778C0"/>
    <w:rsid w:val="00583D56"/>
    <w:rsid w:val="0058483D"/>
    <w:rsid w:val="005904DE"/>
    <w:rsid w:val="005957AA"/>
    <w:rsid w:val="005978D3"/>
    <w:rsid w:val="005A111D"/>
    <w:rsid w:val="005A3AFD"/>
    <w:rsid w:val="005B0736"/>
    <w:rsid w:val="005B2463"/>
    <w:rsid w:val="005B4BDF"/>
    <w:rsid w:val="005D374F"/>
    <w:rsid w:val="005E463E"/>
    <w:rsid w:val="005E523B"/>
    <w:rsid w:val="005F4862"/>
    <w:rsid w:val="005F52DB"/>
    <w:rsid w:val="005F6A18"/>
    <w:rsid w:val="006015EE"/>
    <w:rsid w:val="00611B51"/>
    <w:rsid w:val="00621163"/>
    <w:rsid w:val="006213D1"/>
    <w:rsid w:val="006251ED"/>
    <w:rsid w:val="00646178"/>
    <w:rsid w:val="00664F45"/>
    <w:rsid w:val="00665C99"/>
    <w:rsid w:val="00671C2A"/>
    <w:rsid w:val="00680A5F"/>
    <w:rsid w:val="006810AA"/>
    <w:rsid w:val="00682EFC"/>
    <w:rsid w:val="00686EB2"/>
    <w:rsid w:val="00687F2C"/>
    <w:rsid w:val="006917A4"/>
    <w:rsid w:val="00693EDC"/>
    <w:rsid w:val="006962CA"/>
    <w:rsid w:val="006B6DBD"/>
    <w:rsid w:val="006C083F"/>
    <w:rsid w:val="006C2E0A"/>
    <w:rsid w:val="006D3CCC"/>
    <w:rsid w:val="006D4975"/>
    <w:rsid w:val="006D717D"/>
    <w:rsid w:val="006D762F"/>
    <w:rsid w:val="006E4C8E"/>
    <w:rsid w:val="006E4C96"/>
    <w:rsid w:val="006E5C23"/>
    <w:rsid w:val="006F3B30"/>
    <w:rsid w:val="00700A29"/>
    <w:rsid w:val="00704DD5"/>
    <w:rsid w:val="00706A7A"/>
    <w:rsid w:val="00707EFB"/>
    <w:rsid w:val="00710B33"/>
    <w:rsid w:val="00712A32"/>
    <w:rsid w:val="007200A9"/>
    <w:rsid w:val="00720C74"/>
    <w:rsid w:val="00730147"/>
    <w:rsid w:val="007334F6"/>
    <w:rsid w:val="00734507"/>
    <w:rsid w:val="00735AAC"/>
    <w:rsid w:val="00735E7E"/>
    <w:rsid w:val="00737748"/>
    <w:rsid w:val="00746278"/>
    <w:rsid w:val="00746671"/>
    <w:rsid w:val="00763ACC"/>
    <w:rsid w:val="00764579"/>
    <w:rsid w:val="0077437A"/>
    <w:rsid w:val="00775B0E"/>
    <w:rsid w:val="00776C82"/>
    <w:rsid w:val="0078459E"/>
    <w:rsid w:val="00784607"/>
    <w:rsid w:val="00790647"/>
    <w:rsid w:val="00792ADC"/>
    <w:rsid w:val="00793BB4"/>
    <w:rsid w:val="007A29CE"/>
    <w:rsid w:val="007A6D25"/>
    <w:rsid w:val="007C2830"/>
    <w:rsid w:val="007D24F9"/>
    <w:rsid w:val="007D6F82"/>
    <w:rsid w:val="007D74D8"/>
    <w:rsid w:val="007E20A6"/>
    <w:rsid w:val="007E7623"/>
    <w:rsid w:val="007F087D"/>
    <w:rsid w:val="007F2296"/>
    <w:rsid w:val="007F3174"/>
    <w:rsid w:val="007F3F46"/>
    <w:rsid w:val="007F456E"/>
    <w:rsid w:val="007F513C"/>
    <w:rsid w:val="007F5196"/>
    <w:rsid w:val="007F5878"/>
    <w:rsid w:val="007F675B"/>
    <w:rsid w:val="007F7163"/>
    <w:rsid w:val="008102CD"/>
    <w:rsid w:val="00812767"/>
    <w:rsid w:val="00812AD6"/>
    <w:rsid w:val="00813E11"/>
    <w:rsid w:val="008201C1"/>
    <w:rsid w:val="008204E4"/>
    <w:rsid w:val="00821C00"/>
    <w:rsid w:val="00825299"/>
    <w:rsid w:val="00827262"/>
    <w:rsid w:val="00831D6F"/>
    <w:rsid w:val="00833D2A"/>
    <w:rsid w:val="00834291"/>
    <w:rsid w:val="00834BCF"/>
    <w:rsid w:val="00835E94"/>
    <w:rsid w:val="0084226F"/>
    <w:rsid w:val="008441CA"/>
    <w:rsid w:val="00847AA8"/>
    <w:rsid w:val="0085440A"/>
    <w:rsid w:val="00861506"/>
    <w:rsid w:val="00866305"/>
    <w:rsid w:val="008708AA"/>
    <w:rsid w:val="00872E5A"/>
    <w:rsid w:val="00875FC1"/>
    <w:rsid w:val="008760E0"/>
    <w:rsid w:val="008771E1"/>
    <w:rsid w:val="00881198"/>
    <w:rsid w:val="008813E8"/>
    <w:rsid w:val="00884730"/>
    <w:rsid w:val="00884C41"/>
    <w:rsid w:val="008852B9"/>
    <w:rsid w:val="00886EE0"/>
    <w:rsid w:val="008901D4"/>
    <w:rsid w:val="00891A20"/>
    <w:rsid w:val="0089379F"/>
    <w:rsid w:val="008B689D"/>
    <w:rsid w:val="008D74A2"/>
    <w:rsid w:val="008E0E4F"/>
    <w:rsid w:val="008E2B87"/>
    <w:rsid w:val="008E46B6"/>
    <w:rsid w:val="008E6B56"/>
    <w:rsid w:val="008F3FA5"/>
    <w:rsid w:val="008F601D"/>
    <w:rsid w:val="00916643"/>
    <w:rsid w:val="0091710E"/>
    <w:rsid w:val="00923835"/>
    <w:rsid w:val="00930A6D"/>
    <w:rsid w:val="00933BF5"/>
    <w:rsid w:val="009456CA"/>
    <w:rsid w:val="00960388"/>
    <w:rsid w:val="00960485"/>
    <w:rsid w:val="00965F1B"/>
    <w:rsid w:val="00971F0F"/>
    <w:rsid w:val="009746AD"/>
    <w:rsid w:val="00977954"/>
    <w:rsid w:val="009805E9"/>
    <w:rsid w:val="009974EA"/>
    <w:rsid w:val="00997B40"/>
    <w:rsid w:val="009B0C40"/>
    <w:rsid w:val="009B2537"/>
    <w:rsid w:val="009B7496"/>
    <w:rsid w:val="009C46B9"/>
    <w:rsid w:val="009C4BC4"/>
    <w:rsid w:val="009C7CEC"/>
    <w:rsid w:val="009D6C40"/>
    <w:rsid w:val="009F3925"/>
    <w:rsid w:val="00A04870"/>
    <w:rsid w:val="00A100AF"/>
    <w:rsid w:val="00A10669"/>
    <w:rsid w:val="00A12D96"/>
    <w:rsid w:val="00A1672F"/>
    <w:rsid w:val="00A16837"/>
    <w:rsid w:val="00A233EC"/>
    <w:rsid w:val="00A2783E"/>
    <w:rsid w:val="00A3467C"/>
    <w:rsid w:val="00A34FB7"/>
    <w:rsid w:val="00A365F7"/>
    <w:rsid w:val="00A41B40"/>
    <w:rsid w:val="00A420BB"/>
    <w:rsid w:val="00A429A9"/>
    <w:rsid w:val="00A465F9"/>
    <w:rsid w:val="00A73B24"/>
    <w:rsid w:val="00A773D4"/>
    <w:rsid w:val="00A81316"/>
    <w:rsid w:val="00A823AD"/>
    <w:rsid w:val="00A9585D"/>
    <w:rsid w:val="00A97E2C"/>
    <w:rsid w:val="00AB0363"/>
    <w:rsid w:val="00AB4114"/>
    <w:rsid w:val="00AB7483"/>
    <w:rsid w:val="00AD7899"/>
    <w:rsid w:val="00AE0106"/>
    <w:rsid w:val="00AE4B01"/>
    <w:rsid w:val="00AE7AFF"/>
    <w:rsid w:val="00AF3A4F"/>
    <w:rsid w:val="00AF565C"/>
    <w:rsid w:val="00B061C8"/>
    <w:rsid w:val="00B17A0B"/>
    <w:rsid w:val="00B2176E"/>
    <w:rsid w:val="00B21B33"/>
    <w:rsid w:val="00B24916"/>
    <w:rsid w:val="00B25694"/>
    <w:rsid w:val="00B27713"/>
    <w:rsid w:val="00B300C3"/>
    <w:rsid w:val="00B31432"/>
    <w:rsid w:val="00B36350"/>
    <w:rsid w:val="00B45138"/>
    <w:rsid w:val="00B60164"/>
    <w:rsid w:val="00B732F6"/>
    <w:rsid w:val="00B75366"/>
    <w:rsid w:val="00B801AD"/>
    <w:rsid w:val="00B843BC"/>
    <w:rsid w:val="00B87F2F"/>
    <w:rsid w:val="00B91AAF"/>
    <w:rsid w:val="00B95901"/>
    <w:rsid w:val="00BA6333"/>
    <w:rsid w:val="00BD3D4B"/>
    <w:rsid w:val="00BD5D2F"/>
    <w:rsid w:val="00BE20DD"/>
    <w:rsid w:val="00BE2670"/>
    <w:rsid w:val="00BF0CDB"/>
    <w:rsid w:val="00BF3F49"/>
    <w:rsid w:val="00C000B2"/>
    <w:rsid w:val="00C0012F"/>
    <w:rsid w:val="00C06256"/>
    <w:rsid w:val="00C07434"/>
    <w:rsid w:val="00C13A72"/>
    <w:rsid w:val="00C15EEC"/>
    <w:rsid w:val="00C24CB8"/>
    <w:rsid w:val="00C3316B"/>
    <w:rsid w:val="00C34BD6"/>
    <w:rsid w:val="00C40A76"/>
    <w:rsid w:val="00C46190"/>
    <w:rsid w:val="00C51A97"/>
    <w:rsid w:val="00C60A71"/>
    <w:rsid w:val="00C64C9C"/>
    <w:rsid w:val="00C71D41"/>
    <w:rsid w:val="00C81A70"/>
    <w:rsid w:val="00C82C29"/>
    <w:rsid w:val="00C91C39"/>
    <w:rsid w:val="00C96B56"/>
    <w:rsid w:val="00CA4900"/>
    <w:rsid w:val="00CA6B2A"/>
    <w:rsid w:val="00CC039C"/>
    <w:rsid w:val="00CC2DDA"/>
    <w:rsid w:val="00CC33CB"/>
    <w:rsid w:val="00CC6DFE"/>
    <w:rsid w:val="00CD249F"/>
    <w:rsid w:val="00CE2069"/>
    <w:rsid w:val="00CE24B5"/>
    <w:rsid w:val="00D01ABC"/>
    <w:rsid w:val="00D02D70"/>
    <w:rsid w:val="00D05D3A"/>
    <w:rsid w:val="00D13DF4"/>
    <w:rsid w:val="00D14653"/>
    <w:rsid w:val="00D31B96"/>
    <w:rsid w:val="00D36328"/>
    <w:rsid w:val="00D4534D"/>
    <w:rsid w:val="00D610E9"/>
    <w:rsid w:val="00D66DB6"/>
    <w:rsid w:val="00D8033D"/>
    <w:rsid w:val="00D84C90"/>
    <w:rsid w:val="00D900D5"/>
    <w:rsid w:val="00DB352F"/>
    <w:rsid w:val="00DC094A"/>
    <w:rsid w:val="00DC1B8B"/>
    <w:rsid w:val="00DC2C6F"/>
    <w:rsid w:val="00DC44A5"/>
    <w:rsid w:val="00DD79F6"/>
    <w:rsid w:val="00DE4ABA"/>
    <w:rsid w:val="00DF1524"/>
    <w:rsid w:val="00E03023"/>
    <w:rsid w:val="00E0428D"/>
    <w:rsid w:val="00E1078C"/>
    <w:rsid w:val="00E12845"/>
    <w:rsid w:val="00E133F3"/>
    <w:rsid w:val="00E13A47"/>
    <w:rsid w:val="00E157B8"/>
    <w:rsid w:val="00E21757"/>
    <w:rsid w:val="00E226D5"/>
    <w:rsid w:val="00E258A3"/>
    <w:rsid w:val="00E416A4"/>
    <w:rsid w:val="00E46A28"/>
    <w:rsid w:val="00E6384D"/>
    <w:rsid w:val="00E63B49"/>
    <w:rsid w:val="00E7141F"/>
    <w:rsid w:val="00E72D7A"/>
    <w:rsid w:val="00E74CB7"/>
    <w:rsid w:val="00E76550"/>
    <w:rsid w:val="00E834A7"/>
    <w:rsid w:val="00E848D1"/>
    <w:rsid w:val="00E8644D"/>
    <w:rsid w:val="00E922F1"/>
    <w:rsid w:val="00E924EF"/>
    <w:rsid w:val="00E92ADB"/>
    <w:rsid w:val="00EA64BB"/>
    <w:rsid w:val="00EB0E58"/>
    <w:rsid w:val="00EB1FEB"/>
    <w:rsid w:val="00EC3D7E"/>
    <w:rsid w:val="00ED22A6"/>
    <w:rsid w:val="00ED2543"/>
    <w:rsid w:val="00ED3E9F"/>
    <w:rsid w:val="00EF28E2"/>
    <w:rsid w:val="00F0013F"/>
    <w:rsid w:val="00F272B8"/>
    <w:rsid w:val="00F30ED5"/>
    <w:rsid w:val="00F35A97"/>
    <w:rsid w:val="00F52082"/>
    <w:rsid w:val="00F54850"/>
    <w:rsid w:val="00F55B14"/>
    <w:rsid w:val="00F614AA"/>
    <w:rsid w:val="00F653F3"/>
    <w:rsid w:val="00F73C95"/>
    <w:rsid w:val="00F76010"/>
    <w:rsid w:val="00F77BC7"/>
    <w:rsid w:val="00F8013E"/>
    <w:rsid w:val="00F829AB"/>
    <w:rsid w:val="00F83876"/>
    <w:rsid w:val="00F9626B"/>
    <w:rsid w:val="00FA518C"/>
    <w:rsid w:val="00FA6927"/>
    <w:rsid w:val="00FB46DA"/>
    <w:rsid w:val="00FD2CBE"/>
    <w:rsid w:val="00FD36A3"/>
    <w:rsid w:val="00FD3826"/>
    <w:rsid w:val="00FE042C"/>
    <w:rsid w:val="00FE19D2"/>
    <w:rsid w:val="00FE2428"/>
    <w:rsid w:val="00FE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85E79A"/>
  <w15:docId w15:val="{42DB72C2-2E56-4F21-9484-28C1A816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1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012F"/>
    <w:rPr>
      <w:rFonts w:ascii="Tahoma" w:hAnsi="Tahoma" w:cs="Tahoma"/>
      <w:sz w:val="16"/>
      <w:szCs w:val="16"/>
    </w:rPr>
  </w:style>
  <w:style w:type="paragraph" w:styleId="Header">
    <w:name w:val="header"/>
    <w:basedOn w:val="Normal"/>
    <w:link w:val="HeaderChar"/>
    <w:uiPriority w:val="99"/>
    <w:unhideWhenUsed/>
    <w:rsid w:val="003E4F35"/>
    <w:pPr>
      <w:tabs>
        <w:tab w:val="center" w:pos="4680"/>
        <w:tab w:val="right" w:pos="9360"/>
      </w:tabs>
    </w:pPr>
  </w:style>
  <w:style w:type="character" w:customStyle="1" w:styleId="HeaderChar">
    <w:name w:val="Header Char"/>
    <w:link w:val="Header"/>
    <w:uiPriority w:val="99"/>
    <w:rsid w:val="003E4F35"/>
    <w:rPr>
      <w:sz w:val="22"/>
      <w:szCs w:val="22"/>
    </w:rPr>
  </w:style>
  <w:style w:type="paragraph" w:styleId="Footer">
    <w:name w:val="footer"/>
    <w:basedOn w:val="Normal"/>
    <w:link w:val="FooterChar"/>
    <w:uiPriority w:val="99"/>
    <w:unhideWhenUsed/>
    <w:rsid w:val="003E4F35"/>
    <w:pPr>
      <w:tabs>
        <w:tab w:val="center" w:pos="4680"/>
        <w:tab w:val="right" w:pos="9360"/>
      </w:tabs>
    </w:pPr>
  </w:style>
  <w:style w:type="character" w:customStyle="1" w:styleId="FooterChar">
    <w:name w:val="Footer Char"/>
    <w:link w:val="Footer"/>
    <w:uiPriority w:val="99"/>
    <w:rsid w:val="003E4F35"/>
    <w:rPr>
      <w:sz w:val="22"/>
      <w:szCs w:val="22"/>
    </w:rPr>
  </w:style>
  <w:style w:type="table" w:styleId="TableGrid">
    <w:name w:val="Table Grid"/>
    <w:basedOn w:val="TableNormal"/>
    <w:uiPriority w:val="59"/>
    <w:rsid w:val="00E22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2D96"/>
    <w:pPr>
      <w:ind w:left="720"/>
      <w:contextualSpacing/>
    </w:pPr>
  </w:style>
  <w:style w:type="character" w:styleId="Hyperlink">
    <w:name w:val="Hyperlink"/>
    <w:basedOn w:val="DefaultParagraphFont"/>
    <w:uiPriority w:val="99"/>
    <w:unhideWhenUsed/>
    <w:rsid w:val="00812767"/>
    <w:rPr>
      <w:color w:val="0000FF" w:themeColor="hyperlink"/>
      <w:u w:val="single"/>
    </w:rPr>
  </w:style>
  <w:style w:type="character" w:styleId="FollowedHyperlink">
    <w:name w:val="FollowedHyperlink"/>
    <w:basedOn w:val="DefaultParagraphFont"/>
    <w:uiPriority w:val="99"/>
    <w:semiHidden/>
    <w:unhideWhenUsed/>
    <w:rsid w:val="00812767"/>
    <w:rPr>
      <w:color w:val="800080" w:themeColor="followedHyperlink"/>
      <w:u w:val="single"/>
    </w:rPr>
  </w:style>
  <w:style w:type="character" w:styleId="CommentReference">
    <w:name w:val="annotation reference"/>
    <w:basedOn w:val="DefaultParagraphFont"/>
    <w:uiPriority w:val="99"/>
    <w:semiHidden/>
    <w:unhideWhenUsed/>
    <w:rsid w:val="00FD36A3"/>
    <w:rPr>
      <w:sz w:val="16"/>
      <w:szCs w:val="16"/>
    </w:rPr>
  </w:style>
  <w:style w:type="paragraph" w:styleId="CommentText">
    <w:name w:val="annotation text"/>
    <w:basedOn w:val="Normal"/>
    <w:link w:val="CommentTextChar"/>
    <w:uiPriority w:val="99"/>
    <w:semiHidden/>
    <w:unhideWhenUsed/>
    <w:rsid w:val="00FD36A3"/>
    <w:pPr>
      <w:spacing w:line="240" w:lineRule="auto"/>
    </w:pPr>
    <w:rPr>
      <w:sz w:val="20"/>
      <w:szCs w:val="20"/>
    </w:rPr>
  </w:style>
  <w:style w:type="character" w:customStyle="1" w:styleId="CommentTextChar">
    <w:name w:val="Comment Text Char"/>
    <w:basedOn w:val="DefaultParagraphFont"/>
    <w:link w:val="CommentText"/>
    <w:uiPriority w:val="99"/>
    <w:semiHidden/>
    <w:rsid w:val="00FD36A3"/>
  </w:style>
  <w:style w:type="paragraph" w:styleId="CommentSubject">
    <w:name w:val="annotation subject"/>
    <w:basedOn w:val="CommentText"/>
    <w:next w:val="CommentText"/>
    <w:link w:val="CommentSubjectChar"/>
    <w:uiPriority w:val="99"/>
    <w:semiHidden/>
    <w:unhideWhenUsed/>
    <w:rsid w:val="00FD36A3"/>
    <w:rPr>
      <w:b/>
      <w:bCs/>
    </w:rPr>
  </w:style>
  <w:style w:type="character" w:customStyle="1" w:styleId="CommentSubjectChar">
    <w:name w:val="Comment Subject Char"/>
    <w:basedOn w:val="CommentTextChar"/>
    <w:link w:val="CommentSubject"/>
    <w:uiPriority w:val="99"/>
    <w:semiHidden/>
    <w:rsid w:val="00FD36A3"/>
    <w:rPr>
      <w:b/>
      <w:bCs/>
    </w:rPr>
  </w:style>
  <w:style w:type="paragraph" w:styleId="Revision">
    <w:name w:val="Revision"/>
    <w:hidden/>
    <w:uiPriority w:val="99"/>
    <w:semiHidden/>
    <w:rsid w:val="00FD36A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22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youtube.com/watch?v=H6MtzYsZP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55AC6B-30DA-471B-8D59-60A6887B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SCDOC PREA Annual Report</vt:lpstr>
    </vt:vector>
  </TitlesOfParts>
  <Company>Sedgwick County</Company>
  <LinksUpToDate>false</LinksUpToDate>
  <CharactersWithSpaces>18606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SCDOC PREA Annual Report</dc:title>
  <dc:creator>Martens, Glenda R.</dc:creator>
  <cp:lastModifiedBy>Christian, Jessica S.</cp:lastModifiedBy>
  <cp:revision>5</cp:revision>
  <cp:lastPrinted>2016-01-14T17:28:00Z</cp:lastPrinted>
  <dcterms:created xsi:type="dcterms:W3CDTF">2025-03-03T14:39:00Z</dcterms:created>
  <dcterms:modified xsi:type="dcterms:W3CDTF">2025-03-05T18:13:00Z</dcterms:modified>
</cp:coreProperties>
</file>