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F2296" w14:textId="3EAD93BC" w:rsidR="00EE4571" w:rsidRDefault="00EE4571">
      <w:pPr>
        <w:spacing w:after="120"/>
        <w:jc w:val="center"/>
        <w:rPr>
          <w:b/>
          <w:bCs/>
          <w:sz w:val="28"/>
          <w:szCs w:val="28"/>
        </w:rPr>
      </w:pPr>
      <w:r w:rsidRPr="000C578F">
        <w:rPr>
          <w:noProof/>
          <w:color w:val="000000" w:themeColor="text1"/>
        </w:rPr>
        <w:drawing>
          <wp:anchor distT="0" distB="0" distL="114300" distR="114300" simplePos="0" relativeHeight="251659264" behindDoc="0" locked="0" layoutInCell="1" allowOverlap="1" wp14:anchorId="3D31D1F2" wp14:editId="3A6BBB69">
            <wp:simplePos x="0" y="0"/>
            <wp:positionH relativeFrom="margin">
              <wp:align>center</wp:align>
            </wp:positionH>
            <wp:positionV relativeFrom="margin">
              <wp:posOffset>-628318</wp:posOffset>
            </wp:positionV>
            <wp:extent cx="6734175" cy="1303655"/>
            <wp:effectExtent l="0" t="0" r="9525" b="0"/>
            <wp:wrapSquare wrapText="bothSides"/>
            <wp:docPr id="3" name="Picture 3" descr="Sedgwick County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dgwick County Letterhea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34175" cy="1303655"/>
                    </a:xfrm>
                    <a:prstGeom prst="rect">
                      <a:avLst/>
                    </a:prstGeom>
                  </pic:spPr>
                </pic:pic>
              </a:graphicData>
            </a:graphic>
            <wp14:sizeRelH relativeFrom="margin">
              <wp14:pctWidth>0</wp14:pctWidth>
            </wp14:sizeRelH>
            <wp14:sizeRelV relativeFrom="margin">
              <wp14:pctHeight>0</wp14:pctHeight>
            </wp14:sizeRelV>
          </wp:anchor>
        </w:drawing>
      </w:r>
      <w:r w:rsidRPr="000C578F">
        <w:rPr>
          <w:b/>
          <w:bCs/>
          <w:noProof/>
          <w:color w:val="000000" w:themeColor="text1"/>
        </w:rPr>
        <w:drawing>
          <wp:inline distT="0" distB="0" distL="0" distR="0" wp14:anchorId="240970BC" wp14:editId="58278F80">
            <wp:extent cx="5943600" cy="1181100"/>
            <wp:effectExtent l="0" t="0" r="0" b="0"/>
            <wp:docPr id="2076537265" name="Picture 1" descr="City of Wichita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37265" name="Picture 1" descr="City of Wichita Letterhead"/>
                    <pic:cNvPicPr/>
                  </pic:nvPicPr>
                  <pic:blipFill>
                    <a:blip r:embed="rId8"/>
                    <a:stretch>
                      <a:fillRect/>
                    </a:stretch>
                  </pic:blipFill>
                  <pic:spPr>
                    <a:xfrm>
                      <a:off x="0" y="0"/>
                      <a:ext cx="5943600" cy="1181100"/>
                    </a:xfrm>
                    <a:prstGeom prst="rect">
                      <a:avLst/>
                    </a:prstGeom>
                  </pic:spPr>
                </pic:pic>
              </a:graphicData>
            </a:graphic>
          </wp:inline>
        </w:drawing>
      </w:r>
    </w:p>
    <w:p w14:paraId="67EECD0F" w14:textId="0D8780B6" w:rsidR="00556F36" w:rsidRPr="00EE4571" w:rsidRDefault="004B4179" w:rsidP="00EE4571">
      <w:pPr>
        <w:jc w:val="center"/>
        <w:rPr>
          <w:sz w:val="24"/>
          <w:szCs w:val="24"/>
        </w:rPr>
      </w:pPr>
      <w:r w:rsidRPr="00EE4571">
        <w:rPr>
          <w:b/>
          <w:bCs/>
          <w:sz w:val="24"/>
          <w:szCs w:val="24"/>
        </w:rPr>
        <w:t>ADDENDUM #1</w:t>
      </w:r>
    </w:p>
    <w:p w14:paraId="4F3DB235" w14:textId="77777777" w:rsidR="00556F36" w:rsidRPr="00EE4571" w:rsidRDefault="004B4179" w:rsidP="00EE4571">
      <w:pPr>
        <w:jc w:val="center"/>
        <w:rPr>
          <w:sz w:val="24"/>
          <w:szCs w:val="24"/>
        </w:rPr>
      </w:pPr>
      <w:r w:rsidRPr="00EE4571">
        <w:rPr>
          <w:b/>
          <w:bCs/>
          <w:sz w:val="24"/>
          <w:szCs w:val="24"/>
        </w:rPr>
        <w:t>RFP #26-0083</w:t>
      </w:r>
    </w:p>
    <w:p w14:paraId="0CEA7B77" w14:textId="77777777" w:rsidR="00556F36" w:rsidRPr="00EE4571" w:rsidRDefault="004B4179" w:rsidP="00EE4571">
      <w:pPr>
        <w:jc w:val="center"/>
        <w:rPr>
          <w:sz w:val="24"/>
          <w:szCs w:val="24"/>
        </w:rPr>
      </w:pPr>
      <w:r w:rsidRPr="00EE4571">
        <w:rPr>
          <w:b/>
          <w:bCs/>
          <w:sz w:val="24"/>
          <w:szCs w:val="24"/>
        </w:rPr>
        <w:t>EXPANSION OF TREATMENT CAPACITY</w:t>
      </w:r>
    </w:p>
    <w:p w14:paraId="1A8F4067" w14:textId="77777777" w:rsidR="00556F36" w:rsidRDefault="004B4179">
      <w:pPr>
        <w:spacing w:after="300"/>
        <w:jc w:val="center"/>
      </w:pPr>
      <w:r>
        <w:rPr>
          <w:i/>
          <w:iCs/>
        </w:rPr>
        <w:t>Opioid Settlement Fund | Estimated Allocation $900,000 (up to $450,000 per award, 2 anticipated awards)</w:t>
      </w:r>
    </w:p>
    <w:p w14:paraId="04A65D6E" w14:textId="77777777" w:rsidR="00556F36" w:rsidRDefault="004B4179">
      <w:pPr>
        <w:spacing w:after="160"/>
      </w:pPr>
      <w:r>
        <w:t>Sedgwick County, Kansas, in coordination with the City of Wichita, has prepared this addendum to ensure applicants have complete information before submitting a proposal. Below are the questions received on this RFP through August 13, 2026, and responses approved by the County and City posted on August 21, 2026.</w:t>
      </w:r>
    </w:p>
    <w:p w14:paraId="234211A9" w14:textId="682B8AB0" w:rsidR="00556F36" w:rsidRDefault="004B4179">
      <w:pPr>
        <w:pStyle w:val="Heading2"/>
        <w:spacing w:before="280" w:after="100"/>
      </w:pPr>
      <w:r>
        <w:rPr>
          <w:b/>
          <w:bCs/>
          <w:color w:val="1F3864"/>
        </w:rPr>
        <w:t xml:space="preserve">General Questions (apply to all four Opioid Settlement Fund RFPs — 26-0080, </w:t>
      </w:r>
      <w:r w:rsidR="00EE4571">
        <w:rPr>
          <w:b/>
          <w:bCs/>
          <w:color w:val="1F3864"/>
        </w:rPr>
        <w:t xml:space="preserve">     </w:t>
      </w:r>
      <w:r>
        <w:rPr>
          <w:b/>
          <w:bCs/>
          <w:color w:val="1F3864"/>
        </w:rPr>
        <w:t>26-0081, 26-0082, 26-0083)</w:t>
      </w:r>
    </w:p>
    <w:p w14:paraId="38AC3346" w14:textId="77777777" w:rsidR="00556F36" w:rsidRDefault="004B4179">
      <w:pPr>
        <w:pStyle w:val="ListParagraph"/>
        <w:numPr>
          <w:ilvl w:val="0"/>
          <w:numId w:val="2"/>
        </w:numPr>
        <w:spacing w:after="60"/>
      </w:pPr>
      <w:r>
        <w:rPr>
          <w:b/>
          <w:bCs/>
        </w:rPr>
        <w:t>Can an organization apply for more than one of the four Opioid Settlement Fund RFPs?</w:t>
      </w:r>
    </w:p>
    <w:p w14:paraId="4137C4B8" w14:textId="77777777" w:rsidR="00556F36" w:rsidRDefault="004B4179">
      <w:pPr>
        <w:spacing w:after="220"/>
        <w:ind w:left="360"/>
      </w:pPr>
      <w:r>
        <w:rPr>
          <w:i/>
          <w:iCs/>
        </w:rPr>
        <w:t>Yes. Applicants may apply to more than one funding strategy. Submit a separate Response Form and required attachments for each RFP (RFP Section II, Background; Response Form, Common Questions #1: “Can we apply for more than one strategy? Yes. You may apply to one or more of the four strategies. Submit the materials required for each.”)</w:t>
      </w:r>
    </w:p>
    <w:p w14:paraId="13829AD7" w14:textId="60FCFA17" w:rsidR="00556F36" w:rsidRDefault="004B4179">
      <w:pPr>
        <w:pStyle w:val="ListParagraph"/>
        <w:numPr>
          <w:ilvl w:val="0"/>
          <w:numId w:val="2"/>
        </w:numPr>
        <w:spacing w:after="60"/>
      </w:pPr>
      <w:r>
        <w:rPr>
          <w:b/>
          <w:bCs/>
        </w:rPr>
        <w:t xml:space="preserve">How many proposals can one organization submit for a single RFP </w:t>
      </w:r>
      <w:r w:rsidR="00EE4571">
        <w:rPr>
          <w:b/>
          <w:bCs/>
        </w:rPr>
        <w:t>-</w:t>
      </w:r>
      <w:r>
        <w:rPr>
          <w:b/>
          <w:bCs/>
        </w:rPr>
        <w:t xml:space="preserve"> for example, separate proposals to serve different populations (such as adults and adolescents)?</w:t>
      </w:r>
    </w:p>
    <w:p w14:paraId="147AF556" w14:textId="729F8E34" w:rsidR="00556F36" w:rsidRDefault="00EE4571">
      <w:pPr>
        <w:spacing w:after="220"/>
        <w:ind w:left="360"/>
      </w:pPr>
      <w:r>
        <w:rPr>
          <w:i/>
          <w:iCs/>
        </w:rPr>
        <w:t>A</w:t>
      </w:r>
      <w:r w:rsidR="004B4179">
        <w:rPr>
          <w:i/>
          <w:iCs/>
        </w:rPr>
        <w:t>n organization may submit more than one proposal for the same RFP if each proposal represents a genuinely different program (for example, one program for adults and a separate program for adolescents). Keep in mind that the number of anticipated awards for each strategy is limited, so multiple proposals under the same RFP will be competing against each other, in addition to other applicants, for that same limited pool. As a reminder, a single proposal can also serve more than one population: Response Form Section 4.2 lets you check more than one population served, and Section 4.3 asks which group you will serve first.</w:t>
      </w:r>
    </w:p>
    <w:p w14:paraId="4C22A5CE" w14:textId="77777777" w:rsidR="00556F36" w:rsidRDefault="004B4179">
      <w:pPr>
        <w:pStyle w:val="ListParagraph"/>
        <w:numPr>
          <w:ilvl w:val="0"/>
          <w:numId w:val="2"/>
        </w:numPr>
        <w:spacing w:after="60"/>
      </w:pPr>
      <w:r>
        <w:rPr>
          <w:b/>
          <w:bCs/>
        </w:rPr>
        <w:t>Are letters of support required or permitted?</w:t>
      </w:r>
    </w:p>
    <w:p w14:paraId="683FA733" w14:textId="686E7554" w:rsidR="00556F36" w:rsidRDefault="004B4179">
      <w:pPr>
        <w:spacing w:after="220"/>
        <w:ind w:left="360"/>
      </w:pPr>
      <w:r>
        <w:rPr>
          <w:i/>
          <w:iCs/>
        </w:rPr>
        <w:t xml:space="preserve">They are optional, not required. </w:t>
      </w:r>
    </w:p>
    <w:p w14:paraId="6CFE47C9" w14:textId="77777777" w:rsidR="00556F36" w:rsidRDefault="004B4179">
      <w:pPr>
        <w:pStyle w:val="ListParagraph"/>
        <w:numPr>
          <w:ilvl w:val="0"/>
          <w:numId w:val="2"/>
        </w:numPr>
        <w:spacing w:after="60"/>
      </w:pPr>
      <w:r>
        <w:rPr>
          <w:b/>
          <w:bCs/>
        </w:rPr>
        <w:t>Is there a place where an organization interested in serving as a subawardee, collaborator, or vendor (rather than lead applicant) can list its products or services for lead applicants to find?</w:t>
      </w:r>
    </w:p>
    <w:p w14:paraId="7214D850" w14:textId="77777777" w:rsidR="00556F36" w:rsidRDefault="004B4179">
      <w:pPr>
        <w:spacing w:after="220"/>
        <w:ind w:left="360"/>
      </w:pPr>
      <w:r>
        <w:rPr>
          <w:i/>
          <w:iCs/>
        </w:rPr>
        <w:t>No. Neither the RFP nor the Response Form includes a subawardee or vendor directory or matching mechanism. Organizations interested in a supporting role would need to reach out directly to prospective lead applicants.</w:t>
      </w:r>
    </w:p>
    <w:p w14:paraId="33C5E6DE" w14:textId="77777777" w:rsidR="00EE4571" w:rsidRDefault="00EE4571">
      <w:pPr>
        <w:rPr>
          <w:b/>
          <w:bCs/>
        </w:rPr>
      </w:pPr>
      <w:r>
        <w:rPr>
          <w:b/>
          <w:bCs/>
        </w:rPr>
        <w:br w:type="page"/>
      </w:r>
    </w:p>
    <w:p w14:paraId="24BB5D4A" w14:textId="69747553" w:rsidR="00556F36" w:rsidRDefault="004B4179">
      <w:pPr>
        <w:pStyle w:val="ListParagraph"/>
        <w:numPr>
          <w:ilvl w:val="0"/>
          <w:numId w:val="2"/>
        </w:numPr>
        <w:spacing w:after="60"/>
      </w:pPr>
      <w:r>
        <w:rPr>
          <w:b/>
          <w:bCs/>
        </w:rPr>
        <w:lastRenderedPageBreak/>
        <w:t>What email address should proposals and questions be sent to? (The RFP document itself lists a City of Wichita address.)</w:t>
      </w:r>
    </w:p>
    <w:p w14:paraId="42F6ACD6" w14:textId="77777777" w:rsidR="00556F36" w:rsidRDefault="004B4179">
      <w:pPr>
        <w:spacing w:after="220"/>
        <w:ind w:left="360"/>
      </w:pPr>
      <w:r>
        <w:rPr>
          <w:i/>
          <w:iCs/>
        </w:rPr>
        <w:t>Purchasing@sedgwick.gov. RFP Section III, Submittals: “For all submittals, the RFP number must be entered in the subject line and email the entire document with supplementary materials to: Purchasing@sedgwick.gov.” Any publication on the City of Wichita's Procurement Portal is for marketing purposes only; inquiries submitted there are forwarded to the County.</w:t>
      </w:r>
    </w:p>
    <w:p w14:paraId="0C515620" w14:textId="77777777" w:rsidR="00556F36" w:rsidRDefault="004B4179">
      <w:pPr>
        <w:pStyle w:val="ListParagraph"/>
        <w:numPr>
          <w:ilvl w:val="0"/>
          <w:numId w:val="2"/>
        </w:numPr>
        <w:spacing w:after="60"/>
      </w:pPr>
      <w:r>
        <w:rPr>
          <w:b/>
          <w:bCs/>
        </w:rPr>
        <w:t>Was the August 3 pre-bid webinar recorded, and are slides or notes available?</w:t>
      </w:r>
    </w:p>
    <w:p w14:paraId="3441CF65" w14:textId="4B5EBF99" w:rsidR="0042583A" w:rsidRDefault="0042583A" w:rsidP="0042583A">
      <w:pPr>
        <w:pStyle w:val="ListParagraph"/>
        <w:ind w:left="360"/>
      </w:pPr>
      <w:hyperlink r:id="rId9" w:history="1">
        <w:r w:rsidRPr="00F04CE9">
          <w:rPr>
            <w:rStyle w:val="Hyperlink"/>
          </w:rPr>
          <w:t>https://youtu.be/3WCVFmIoY0M</w:t>
        </w:r>
      </w:hyperlink>
    </w:p>
    <w:p w14:paraId="12239309" w14:textId="77777777" w:rsidR="0042583A" w:rsidRPr="0042583A" w:rsidRDefault="0042583A" w:rsidP="0042583A">
      <w:pPr>
        <w:pStyle w:val="ListParagraph"/>
        <w:spacing w:after="60"/>
        <w:ind w:left="360"/>
      </w:pPr>
    </w:p>
    <w:p w14:paraId="6E4C8156" w14:textId="6A852D31" w:rsidR="00556F36" w:rsidRDefault="004B4179">
      <w:pPr>
        <w:pStyle w:val="ListParagraph"/>
        <w:numPr>
          <w:ilvl w:val="0"/>
          <w:numId w:val="2"/>
        </w:numPr>
        <w:spacing w:after="60"/>
      </w:pPr>
      <w:r>
        <w:rPr>
          <w:b/>
          <w:bCs/>
        </w:rPr>
        <w:t>Is there a preference for in-state (Kansas) applicants compared to national organizations with local partnerships?</w:t>
      </w:r>
    </w:p>
    <w:p w14:paraId="080AAA45" w14:textId="77777777" w:rsidR="00556F36" w:rsidRDefault="004B4179">
      <w:pPr>
        <w:spacing w:after="220"/>
        <w:ind w:left="360"/>
      </w:pPr>
      <w:r>
        <w:rPr>
          <w:i/>
          <w:iCs/>
        </w:rPr>
        <w:t>No formal preference is stated. Target audiences must be residents of the County or City.</w:t>
      </w:r>
    </w:p>
    <w:p w14:paraId="1C32CD72" w14:textId="77777777" w:rsidR="00556F36" w:rsidRDefault="004B4179">
      <w:pPr>
        <w:pStyle w:val="ListParagraph"/>
        <w:numPr>
          <w:ilvl w:val="0"/>
          <w:numId w:val="2"/>
        </w:numPr>
        <w:spacing w:after="60"/>
      </w:pPr>
      <w:r>
        <w:rPr>
          <w:b/>
          <w:bCs/>
        </w:rPr>
        <w:t>There seems to be a contradiction: is data and evaluation required, or not?</w:t>
      </w:r>
    </w:p>
    <w:p w14:paraId="6400409D" w14:textId="77777777" w:rsidR="00556F36" w:rsidRDefault="004B4179">
      <w:pPr>
        <w:spacing w:after="220"/>
        <w:ind w:left="360"/>
      </w:pPr>
      <w:r>
        <w:rPr>
          <w:i/>
          <w:iCs/>
        </w:rPr>
        <w:t>A formal evaluation is not required, but reporting on performance metrics is required. Response Form Section 7 asks applicants to choose the outcome measures they will report, and it is scored (10 of 100 points, “Performance measures”). If funded, RFP Section VIII and the Response Form both require quarterly performance reporting for the life of the contract. What's flexible is which specific measures you choose from Section 7.1's menu — not whether you report at all.</w:t>
      </w:r>
    </w:p>
    <w:p w14:paraId="78BBBBB2" w14:textId="77777777" w:rsidR="00556F36" w:rsidRDefault="004B4179">
      <w:pPr>
        <w:pStyle w:val="ListParagraph"/>
        <w:numPr>
          <w:ilvl w:val="0"/>
          <w:numId w:val="2"/>
        </w:numPr>
        <w:spacing w:after="60"/>
      </w:pPr>
      <w:r>
        <w:rPr>
          <w:b/>
          <w:bCs/>
        </w:rPr>
        <w:t>For fringe benefits in the budget, is an overall fringe cost per position sufficient, or does each component need to be broken out?</w:t>
      </w:r>
    </w:p>
    <w:p w14:paraId="551C94BF" w14:textId="77777777" w:rsidR="00556F36" w:rsidRDefault="004B4179">
      <w:pPr>
        <w:spacing w:after="220"/>
        <w:ind w:left="360"/>
      </w:pPr>
      <w:r>
        <w:rPr>
          <w:i/>
          <w:iCs/>
        </w:rPr>
        <w:t>Each component needs to be broken out, with its rate and dollar amount. Budget Workbook instructions, Category B: “Break out each fringe component (FICA, workers’ comp, health, retirement) with its rate and dollar amount.”</w:t>
      </w:r>
    </w:p>
    <w:p w14:paraId="4483519B" w14:textId="77777777" w:rsidR="00556F36" w:rsidRDefault="004B4179">
      <w:pPr>
        <w:pStyle w:val="ListParagraph"/>
        <w:numPr>
          <w:ilvl w:val="0"/>
          <w:numId w:val="2"/>
        </w:numPr>
        <w:spacing w:after="60"/>
      </w:pPr>
      <w:r>
        <w:rPr>
          <w:b/>
          <w:bCs/>
        </w:rPr>
        <w:t>Is the one-year renewal option a no-cost extension, or would it include additional funding?</w:t>
      </w:r>
    </w:p>
    <w:p w14:paraId="7CDE8890" w14:textId="77777777" w:rsidR="00556F36" w:rsidRDefault="004B4179">
      <w:pPr>
        <w:spacing w:after="220"/>
        <w:ind w:left="360"/>
      </w:pPr>
      <w:r>
        <w:rPr>
          <w:i/>
          <w:iCs/>
        </w:rPr>
        <w:t xml:space="preserve">No additional funding will be provided. The one-year renewal, if exercised, will be treated as a no-cost extension of the existing award under the same terms and conditions (RFP Section VI.D: the contract “shall continue until December 31, </w:t>
      </w:r>
      <w:proofErr w:type="gramStart"/>
      <w:r>
        <w:rPr>
          <w:i/>
          <w:iCs/>
        </w:rPr>
        <w:t>2027</w:t>
      </w:r>
      <w:proofErr w:type="gramEnd"/>
      <w:r>
        <w:rPr>
          <w:i/>
          <w:iCs/>
        </w:rPr>
        <w:t xml:space="preserve"> with one (1) year option to renew under the same terms and conditions... at the sole discretion of County and City”).</w:t>
      </w:r>
    </w:p>
    <w:p w14:paraId="0029F3AD" w14:textId="77777777" w:rsidR="00556F36" w:rsidRDefault="004B4179">
      <w:pPr>
        <w:pStyle w:val="Heading2"/>
        <w:spacing w:before="280" w:after="100"/>
      </w:pPr>
      <w:r>
        <w:rPr>
          <w:b/>
          <w:bCs/>
          <w:color w:val="1F3864"/>
        </w:rPr>
        <w:t>Expansion of Treatment Capacity – Specific Questions (RFP #26-0083)</w:t>
      </w:r>
    </w:p>
    <w:p w14:paraId="6475F4F5" w14:textId="77777777" w:rsidR="00556F36" w:rsidRDefault="004B4179">
      <w:pPr>
        <w:pStyle w:val="ListParagraph"/>
        <w:numPr>
          <w:ilvl w:val="0"/>
          <w:numId w:val="2"/>
        </w:numPr>
        <w:spacing w:after="60"/>
      </w:pPr>
      <w:r>
        <w:rPr>
          <w:b/>
          <w:bCs/>
        </w:rPr>
        <w:t>Are for-profit organizations eligible to apply? The list of required submission documents includes an IRS determination letter or documentation that the applicant is a government entity, which raised the question.</w:t>
      </w:r>
    </w:p>
    <w:p w14:paraId="1C43554A" w14:textId="4DE5AB18" w:rsidR="00556F36" w:rsidRDefault="004B4179">
      <w:pPr>
        <w:spacing w:after="220"/>
        <w:ind w:left="360"/>
      </w:pPr>
      <w:r>
        <w:rPr>
          <w:i/>
          <w:iCs/>
        </w:rPr>
        <w:t xml:space="preserve">Yes. Response Form Section 1.6 (“What type of organization are you?”) lists “For-profit provider” as one of the organization-type options, alongside nonprofit, government agency, healthcare provider, and others. </w:t>
      </w:r>
      <w:r w:rsidR="0063756B">
        <w:rPr>
          <w:i/>
          <w:iCs/>
        </w:rPr>
        <w:t xml:space="preserve">Please include </w:t>
      </w:r>
      <w:r w:rsidR="00917936">
        <w:rPr>
          <w:i/>
          <w:iCs/>
        </w:rPr>
        <w:t xml:space="preserve">articles of incorporation or other documentation that </w:t>
      </w:r>
      <w:proofErr w:type="gramStart"/>
      <w:r w:rsidR="00917936">
        <w:rPr>
          <w:i/>
          <w:iCs/>
        </w:rPr>
        <w:t>shows</w:t>
      </w:r>
      <w:proofErr w:type="gramEnd"/>
      <w:r w:rsidR="00917936">
        <w:rPr>
          <w:i/>
          <w:iCs/>
        </w:rPr>
        <w:t xml:space="preserve"> demonstrates the organization’s status. </w:t>
      </w:r>
    </w:p>
    <w:p w14:paraId="5E2BCA87" w14:textId="77777777" w:rsidR="00556F36" w:rsidRDefault="004B4179">
      <w:pPr>
        <w:pStyle w:val="ListParagraph"/>
        <w:numPr>
          <w:ilvl w:val="0"/>
          <w:numId w:val="2"/>
        </w:numPr>
        <w:spacing w:after="60"/>
      </w:pPr>
      <w:r>
        <w:rPr>
          <w:b/>
          <w:bCs/>
        </w:rPr>
        <w:t>What is the format designated for the RFP?</w:t>
      </w:r>
    </w:p>
    <w:p w14:paraId="5105844B" w14:textId="3B99E7FE" w:rsidR="00556F36" w:rsidRDefault="004B4179">
      <w:pPr>
        <w:spacing w:after="220"/>
        <w:ind w:left="360"/>
      </w:pPr>
      <w:r>
        <w:rPr>
          <w:i/>
          <w:iCs/>
        </w:rPr>
        <w:t>Applicants complete the RFP's companion Response Form — a fillable document organized into 12 sections (About Your Organization, Project at a Glance, the Need, Who You Will Serve, What You Will Do, Why This Will Work, How You Will Measure Success, Access and Lived Experience, Your Team, Budget, a few final questions, and Sign and Attach) — plus a separate required Budget Workbook.</w:t>
      </w:r>
    </w:p>
    <w:p w14:paraId="5BB1169F" w14:textId="77777777" w:rsidR="00556F36" w:rsidRDefault="004B4179">
      <w:pPr>
        <w:pStyle w:val="ListParagraph"/>
        <w:numPr>
          <w:ilvl w:val="0"/>
          <w:numId w:val="2"/>
        </w:numPr>
        <w:spacing w:after="60"/>
      </w:pPr>
      <w:r>
        <w:rPr>
          <w:b/>
          <w:bCs/>
        </w:rPr>
        <w:t>Is there a page limit?</w:t>
      </w:r>
    </w:p>
    <w:p w14:paraId="33BDC8C0" w14:textId="77777777" w:rsidR="00556F36" w:rsidRDefault="004B4179">
      <w:pPr>
        <w:spacing w:after="220"/>
        <w:ind w:left="360"/>
      </w:pPr>
      <w:r>
        <w:rPr>
          <w:i/>
          <w:iCs/>
        </w:rPr>
        <w:t>No formal page limit. Word-count guides are given per question (for example, “about 500 words”), but the RFP states these are guides, not hard limits — answer boxes expand to fit longer answers without being cut off (RFP Section VII).</w:t>
      </w:r>
    </w:p>
    <w:p w14:paraId="2AD253A2" w14:textId="77777777" w:rsidR="00EE4571" w:rsidRDefault="00EE4571">
      <w:pPr>
        <w:rPr>
          <w:b/>
          <w:bCs/>
        </w:rPr>
      </w:pPr>
      <w:r>
        <w:rPr>
          <w:b/>
          <w:bCs/>
        </w:rPr>
        <w:br w:type="page"/>
      </w:r>
    </w:p>
    <w:p w14:paraId="12CB3250" w14:textId="4A3693D6" w:rsidR="00556F36" w:rsidRDefault="004B4179">
      <w:pPr>
        <w:pStyle w:val="ListParagraph"/>
        <w:numPr>
          <w:ilvl w:val="0"/>
          <w:numId w:val="2"/>
        </w:numPr>
        <w:spacing w:after="60"/>
      </w:pPr>
      <w:r>
        <w:rPr>
          <w:b/>
          <w:bCs/>
        </w:rPr>
        <w:lastRenderedPageBreak/>
        <w:t>Is there a budget format?</w:t>
      </w:r>
    </w:p>
    <w:p w14:paraId="1855E242" w14:textId="77777777" w:rsidR="00556F36" w:rsidRDefault="004B4179">
      <w:pPr>
        <w:spacing w:after="220"/>
        <w:ind w:left="360"/>
      </w:pPr>
      <w:r>
        <w:rPr>
          <w:i/>
          <w:iCs/>
        </w:rPr>
        <w:t>Yes — the Budget Workbook, a separate required file with a Summary Budget tab and a Budget Narrative tab across 8 categories (Personnel; Fringe Benefits; Contracted Services; Client/Participant Support; Supplies; Travel or Local Transportation; Data and Evaluation; and Indirect/Administrative, capped at 5% of direct costs).</w:t>
      </w:r>
    </w:p>
    <w:p w14:paraId="31D5C47C" w14:textId="77777777" w:rsidR="00556F36" w:rsidRDefault="004B4179">
      <w:pPr>
        <w:pStyle w:val="ListParagraph"/>
        <w:numPr>
          <w:ilvl w:val="0"/>
          <w:numId w:val="2"/>
        </w:numPr>
        <w:spacing w:after="60"/>
      </w:pPr>
      <w:r>
        <w:rPr>
          <w:b/>
          <w:bCs/>
        </w:rPr>
        <w:t>Are there required outcomes?</w:t>
      </w:r>
    </w:p>
    <w:p w14:paraId="70DF9FF6" w14:textId="77777777" w:rsidR="00556F36" w:rsidRDefault="004B4179">
      <w:pPr>
        <w:spacing w:after="220"/>
        <w:ind w:left="360"/>
      </w:pPr>
      <w:r>
        <w:rPr>
          <w:i/>
          <w:iCs/>
        </w:rPr>
        <w:t>Applicants choose their own outcome measures from a shared menu in Response Form Section 7.1 (for example, people served, connected to treatment, providers trained) and set Year 1/Year 2 targets. There's no single fixed outcome required of every applicant, but selecting and reporting on at least some measures is mandatory and scored (10 of 100 points, “Performance measures”).</w:t>
      </w:r>
    </w:p>
    <w:p w14:paraId="4E08952E" w14:textId="77777777" w:rsidR="00556F36" w:rsidRDefault="00556F36">
      <w:pPr>
        <w:spacing w:before="300"/>
      </w:pPr>
    </w:p>
    <w:p w14:paraId="3A4FE672" w14:textId="272F7483" w:rsidR="00556F36" w:rsidRDefault="004B4179">
      <w:pPr>
        <w:spacing w:after="160"/>
      </w:pPr>
      <w:r>
        <w:t>Firms interested in submitting a proposal must respond with complete information and deliver on or before 1:45 pm CDT, September 15, 2026. Late responses will not be accepted and will not receive consideration for final award.</w:t>
      </w:r>
    </w:p>
    <w:p w14:paraId="61F7D867" w14:textId="77777777" w:rsidR="00EE4571" w:rsidRDefault="00EE4571">
      <w:pPr>
        <w:spacing w:after="160"/>
      </w:pPr>
    </w:p>
    <w:p w14:paraId="65D2BCF8" w14:textId="77777777" w:rsidR="00EE4571" w:rsidRPr="000C578F" w:rsidRDefault="00EE4571" w:rsidP="00EE4571">
      <w:pPr>
        <w:pStyle w:val="NoSpacing"/>
        <w:spacing w:after="240"/>
        <w:rPr>
          <w:rFonts w:ascii="Times New Roman" w:hAnsi="Times New Roman" w:cs="Times New Roman"/>
          <w:color w:val="000000" w:themeColor="text1"/>
        </w:rPr>
      </w:pPr>
      <w:r w:rsidRPr="000C578F">
        <w:rPr>
          <w:rFonts w:ascii="Times New Roman" w:hAnsi="Times New Roman" w:cs="Times New Roman"/>
          <w:color w:val="000000" w:themeColor="text1"/>
        </w:rPr>
        <w:t>Sincerely,</w:t>
      </w:r>
    </w:p>
    <w:p w14:paraId="60A85553" w14:textId="77777777" w:rsidR="00EE4571" w:rsidRPr="000C578F" w:rsidRDefault="00EE4571" w:rsidP="00EE4571">
      <w:pPr>
        <w:pStyle w:val="NoSpacing"/>
        <w:rPr>
          <w:rFonts w:ascii="Times New Roman" w:hAnsi="Times New Roman" w:cs="Times New Roman"/>
          <w:color w:val="000000" w:themeColor="text1"/>
        </w:rPr>
      </w:pPr>
      <w:r w:rsidRPr="000C578F">
        <w:rPr>
          <w:rFonts w:ascii="Times New Roman" w:hAnsi="Times New Roman" w:cs="Times New Roman"/>
          <w:noProof/>
        </w:rPr>
        <w:drawing>
          <wp:inline distT="0" distB="0" distL="0" distR="0" wp14:anchorId="763611DA" wp14:editId="1357DF38">
            <wp:extent cx="1244600" cy="312730"/>
            <wp:effectExtent l="0" t="0" r="0" b="0"/>
            <wp:docPr id="1573047220"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71881" cy="319585"/>
                    </a:xfrm>
                    <a:prstGeom prst="rect">
                      <a:avLst/>
                    </a:prstGeom>
                    <a:noFill/>
                    <a:ln>
                      <a:noFill/>
                    </a:ln>
                  </pic:spPr>
                </pic:pic>
              </a:graphicData>
            </a:graphic>
          </wp:inline>
        </w:drawing>
      </w:r>
    </w:p>
    <w:p w14:paraId="34DE4C30" w14:textId="77777777" w:rsidR="00EE4571" w:rsidRPr="000C578F" w:rsidRDefault="00EE4571" w:rsidP="00EE4571">
      <w:pPr>
        <w:rPr>
          <w:bCs/>
          <w:color w:val="000000" w:themeColor="text1"/>
        </w:rPr>
      </w:pPr>
      <w:r w:rsidRPr="000C578F">
        <w:rPr>
          <w:bCs/>
          <w:color w:val="000000" w:themeColor="text1"/>
        </w:rPr>
        <w:t xml:space="preserve">Joseph Thomas, </w:t>
      </w:r>
    </w:p>
    <w:p w14:paraId="4F1D8AA7" w14:textId="77777777" w:rsidR="00EE4571" w:rsidRPr="000C578F" w:rsidRDefault="00EE4571" w:rsidP="00EE4571">
      <w:pPr>
        <w:rPr>
          <w:color w:val="000000" w:themeColor="text1"/>
        </w:rPr>
      </w:pPr>
      <w:r w:rsidRPr="000C578F">
        <w:rPr>
          <w:bCs/>
          <w:color w:val="000000" w:themeColor="text1"/>
        </w:rPr>
        <w:t xml:space="preserve">NIGP-CPP, CPSM, CPSD, C.P.M. </w:t>
      </w:r>
      <w:r w:rsidRPr="000C578F">
        <w:rPr>
          <w:color w:val="000000" w:themeColor="text1"/>
        </w:rPr>
        <w:t>Purchasing Director</w:t>
      </w:r>
    </w:p>
    <w:p w14:paraId="3B5D11DE" w14:textId="77777777" w:rsidR="00EE4571" w:rsidRPr="000C578F" w:rsidRDefault="00EE4571" w:rsidP="00EE4571">
      <w:pPr>
        <w:rPr>
          <w:color w:val="000000" w:themeColor="text1"/>
        </w:rPr>
      </w:pPr>
    </w:p>
    <w:p w14:paraId="7C834C62" w14:textId="77777777" w:rsidR="00EE4571" w:rsidRPr="000C578F" w:rsidRDefault="00EE4571" w:rsidP="00EE4571">
      <w:pPr>
        <w:rPr>
          <w:color w:val="000000" w:themeColor="text1"/>
        </w:rPr>
      </w:pPr>
    </w:p>
    <w:p w14:paraId="54164A87" w14:textId="77777777" w:rsidR="00EE4571" w:rsidRDefault="00EE4571" w:rsidP="00EE4571">
      <w:r w:rsidRPr="000C578F">
        <w:rPr>
          <w:color w:val="000000" w:themeColor="text1"/>
        </w:rPr>
        <w:t>JT/ch</w:t>
      </w:r>
    </w:p>
    <w:p w14:paraId="141E348D" w14:textId="77777777" w:rsidR="00EE4571" w:rsidRDefault="00EE4571">
      <w:pPr>
        <w:spacing w:after="160"/>
      </w:pPr>
    </w:p>
    <w:sectPr w:rsidR="00EE457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8E8BB" w14:textId="77777777" w:rsidR="00C66D11" w:rsidRDefault="00C66D11" w:rsidP="00EE4571">
      <w:r>
        <w:separator/>
      </w:r>
    </w:p>
  </w:endnote>
  <w:endnote w:type="continuationSeparator" w:id="0">
    <w:p w14:paraId="48E0C47B" w14:textId="77777777" w:rsidR="00C66D11" w:rsidRDefault="00C66D11" w:rsidP="00EE4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8F69" w14:textId="2D8DA461" w:rsidR="00EE4571" w:rsidRDefault="00EE4571">
    <w:pPr>
      <w:pStyle w:val="Footer"/>
      <w:jc w:val="right"/>
    </w:pPr>
    <w:r w:rsidRPr="00EE4571">
      <w:rPr>
        <w:i/>
        <w:iCs/>
      </w:rPr>
      <w:t xml:space="preserve">Addendum #1, RFP #26-0083        </w:t>
    </w:r>
    <w:r>
      <w:t xml:space="preserve">                                                               </w:t>
    </w:r>
    <w:sdt>
      <w:sdtPr>
        <w:id w:val="-6886788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381CCE2" w14:textId="77777777" w:rsidR="00EE4571" w:rsidRDefault="00EE4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F4583" w14:textId="77777777" w:rsidR="00C66D11" w:rsidRDefault="00C66D11" w:rsidP="00EE4571">
      <w:r>
        <w:separator/>
      </w:r>
    </w:p>
  </w:footnote>
  <w:footnote w:type="continuationSeparator" w:id="0">
    <w:p w14:paraId="03951C43" w14:textId="77777777" w:rsidR="00C66D11" w:rsidRDefault="00C66D11" w:rsidP="00EE4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728B"/>
    <w:multiLevelType w:val="hybridMultilevel"/>
    <w:tmpl w:val="1FCE66D6"/>
    <w:lvl w:ilvl="0" w:tplc="B03EC57C">
      <w:start w:val="1"/>
      <w:numFmt w:val="bullet"/>
      <w:lvlText w:val="●"/>
      <w:lvlJc w:val="left"/>
      <w:pPr>
        <w:ind w:left="720" w:hanging="360"/>
      </w:pPr>
    </w:lvl>
    <w:lvl w:ilvl="1" w:tplc="9C5C044E">
      <w:start w:val="1"/>
      <w:numFmt w:val="bullet"/>
      <w:lvlText w:val="○"/>
      <w:lvlJc w:val="left"/>
      <w:pPr>
        <w:ind w:left="1440" w:hanging="360"/>
      </w:pPr>
    </w:lvl>
    <w:lvl w:ilvl="2" w:tplc="5D225800">
      <w:start w:val="1"/>
      <w:numFmt w:val="bullet"/>
      <w:lvlText w:val="■"/>
      <w:lvlJc w:val="left"/>
      <w:pPr>
        <w:ind w:left="2160" w:hanging="360"/>
      </w:pPr>
    </w:lvl>
    <w:lvl w:ilvl="3" w:tplc="6CCEB9F2">
      <w:start w:val="1"/>
      <w:numFmt w:val="bullet"/>
      <w:lvlText w:val="●"/>
      <w:lvlJc w:val="left"/>
      <w:pPr>
        <w:ind w:left="2880" w:hanging="360"/>
      </w:pPr>
    </w:lvl>
    <w:lvl w:ilvl="4" w:tplc="F4FE3BBE">
      <w:start w:val="1"/>
      <w:numFmt w:val="bullet"/>
      <w:lvlText w:val="○"/>
      <w:lvlJc w:val="left"/>
      <w:pPr>
        <w:ind w:left="3600" w:hanging="360"/>
      </w:pPr>
    </w:lvl>
    <w:lvl w:ilvl="5" w:tplc="348E9A9C">
      <w:start w:val="1"/>
      <w:numFmt w:val="bullet"/>
      <w:lvlText w:val="■"/>
      <w:lvlJc w:val="left"/>
      <w:pPr>
        <w:ind w:left="4320" w:hanging="360"/>
      </w:pPr>
    </w:lvl>
    <w:lvl w:ilvl="6" w:tplc="D578D88C">
      <w:start w:val="1"/>
      <w:numFmt w:val="bullet"/>
      <w:lvlText w:val="●"/>
      <w:lvlJc w:val="left"/>
      <w:pPr>
        <w:ind w:left="5040" w:hanging="360"/>
      </w:pPr>
    </w:lvl>
    <w:lvl w:ilvl="7" w:tplc="2B06033C">
      <w:start w:val="1"/>
      <w:numFmt w:val="bullet"/>
      <w:lvlText w:val="●"/>
      <w:lvlJc w:val="left"/>
      <w:pPr>
        <w:ind w:left="5760" w:hanging="360"/>
      </w:pPr>
    </w:lvl>
    <w:lvl w:ilvl="8" w:tplc="54721ACA">
      <w:start w:val="1"/>
      <w:numFmt w:val="bullet"/>
      <w:lvlText w:val="●"/>
      <w:lvlJc w:val="left"/>
      <w:pPr>
        <w:ind w:left="6480" w:hanging="360"/>
      </w:pPr>
    </w:lvl>
  </w:abstractNum>
  <w:abstractNum w:abstractNumId="1" w15:restartNumberingAfterBreak="0">
    <w:nsid w:val="0F5C5D94"/>
    <w:multiLevelType w:val="hybridMultilevel"/>
    <w:tmpl w:val="7A882244"/>
    <w:lvl w:ilvl="0" w:tplc="D616ABBA">
      <w:start w:val="1"/>
      <w:numFmt w:val="decimal"/>
      <w:lvlText w:val="%1."/>
      <w:lvlJc w:val="left"/>
      <w:pPr>
        <w:ind w:left="360" w:hanging="360"/>
      </w:pPr>
    </w:lvl>
    <w:lvl w:ilvl="1" w:tplc="9ABA39E4">
      <w:numFmt w:val="decimal"/>
      <w:lvlText w:val=""/>
      <w:lvlJc w:val="left"/>
    </w:lvl>
    <w:lvl w:ilvl="2" w:tplc="2D6E3248">
      <w:numFmt w:val="decimal"/>
      <w:lvlText w:val=""/>
      <w:lvlJc w:val="left"/>
    </w:lvl>
    <w:lvl w:ilvl="3" w:tplc="854AE65C">
      <w:numFmt w:val="decimal"/>
      <w:lvlText w:val=""/>
      <w:lvlJc w:val="left"/>
    </w:lvl>
    <w:lvl w:ilvl="4" w:tplc="0EF65F96">
      <w:numFmt w:val="decimal"/>
      <w:lvlText w:val=""/>
      <w:lvlJc w:val="left"/>
    </w:lvl>
    <w:lvl w:ilvl="5" w:tplc="7534EEB8">
      <w:numFmt w:val="decimal"/>
      <w:lvlText w:val=""/>
      <w:lvlJc w:val="left"/>
    </w:lvl>
    <w:lvl w:ilvl="6" w:tplc="95E28068">
      <w:numFmt w:val="decimal"/>
      <w:lvlText w:val=""/>
      <w:lvlJc w:val="left"/>
    </w:lvl>
    <w:lvl w:ilvl="7" w:tplc="7F58B14A">
      <w:numFmt w:val="decimal"/>
      <w:lvlText w:val=""/>
      <w:lvlJc w:val="left"/>
    </w:lvl>
    <w:lvl w:ilvl="8" w:tplc="CFD48C4C">
      <w:numFmt w:val="decimal"/>
      <w:lvlText w:val=""/>
      <w:lvlJc w:val="left"/>
    </w:lvl>
  </w:abstractNum>
  <w:num w:numId="1" w16cid:durableId="36391225">
    <w:abstractNumId w:val="0"/>
    <w:lvlOverride w:ilvl="0">
      <w:startOverride w:val="1"/>
    </w:lvlOverride>
  </w:num>
  <w:num w:numId="2" w16cid:durableId="56553215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F36"/>
    <w:rsid w:val="003727E9"/>
    <w:rsid w:val="003F1051"/>
    <w:rsid w:val="0042583A"/>
    <w:rsid w:val="00490C13"/>
    <w:rsid w:val="004B4179"/>
    <w:rsid w:val="00535B31"/>
    <w:rsid w:val="00556F36"/>
    <w:rsid w:val="0063756B"/>
    <w:rsid w:val="00687357"/>
    <w:rsid w:val="007C445E"/>
    <w:rsid w:val="00917936"/>
    <w:rsid w:val="00BB63DE"/>
    <w:rsid w:val="00C66D11"/>
    <w:rsid w:val="00EE4571"/>
    <w:rsid w:val="00FA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F8202"/>
  <w15:docId w15:val="{4A50B042-D1D9-442C-ABE5-067BA0F5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EE4571"/>
    <w:rPr>
      <w:rFonts w:ascii="Arial" w:eastAsia="Arial" w:hAnsi="Arial" w:cs="Arial"/>
      <w:sz w:val="22"/>
      <w:szCs w:val="22"/>
    </w:rPr>
  </w:style>
  <w:style w:type="paragraph" w:styleId="Header">
    <w:name w:val="header"/>
    <w:basedOn w:val="Normal"/>
    <w:link w:val="HeaderChar"/>
    <w:uiPriority w:val="99"/>
    <w:unhideWhenUsed/>
    <w:rsid w:val="00EE4571"/>
    <w:pPr>
      <w:tabs>
        <w:tab w:val="center" w:pos="4680"/>
        <w:tab w:val="right" w:pos="9360"/>
      </w:tabs>
    </w:pPr>
  </w:style>
  <w:style w:type="character" w:customStyle="1" w:styleId="HeaderChar">
    <w:name w:val="Header Char"/>
    <w:basedOn w:val="DefaultParagraphFont"/>
    <w:link w:val="Header"/>
    <w:uiPriority w:val="99"/>
    <w:rsid w:val="00EE4571"/>
  </w:style>
  <w:style w:type="paragraph" w:styleId="Footer">
    <w:name w:val="footer"/>
    <w:basedOn w:val="Normal"/>
    <w:link w:val="FooterChar"/>
    <w:uiPriority w:val="99"/>
    <w:unhideWhenUsed/>
    <w:rsid w:val="00EE4571"/>
    <w:pPr>
      <w:tabs>
        <w:tab w:val="center" w:pos="4680"/>
        <w:tab w:val="right" w:pos="9360"/>
      </w:tabs>
    </w:pPr>
  </w:style>
  <w:style w:type="character" w:customStyle="1" w:styleId="FooterChar">
    <w:name w:val="Footer Char"/>
    <w:basedOn w:val="DefaultParagraphFont"/>
    <w:link w:val="Footer"/>
    <w:uiPriority w:val="99"/>
    <w:rsid w:val="00EE4571"/>
  </w:style>
  <w:style w:type="character" w:styleId="UnresolvedMention">
    <w:name w:val="Unresolved Mention"/>
    <w:basedOn w:val="DefaultParagraphFont"/>
    <w:uiPriority w:val="99"/>
    <w:semiHidden/>
    <w:unhideWhenUsed/>
    <w:rsid w:val="00425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jpg@01DD1F3B.2D5C5420"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youtu.be/3WCVFmIoY0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1024</Words>
  <Characters>5840</Characters>
  <Application>Microsoft Office Word</Application>
  <DocSecurity>0</DocSecurity>
  <Lines>48</Lines>
  <Paragraphs>13</Paragraphs>
  <ScaleCrop>false</ScaleCrop>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Hoppman, Christine M.</cp:lastModifiedBy>
  <cp:revision>9</cp:revision>
  <dcterms:created xsi:type="dcterms:W3CDTF">2026-08-17T20:14:00Z</dcterms:created>
  <dcterms:modified xsi:type="dcterms:W3CDTF">2026-08-18T19:15:00Z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437f3a4b-4511-4f33-a9f5-4f4ef66fa16d</vt:lpwstr>
  </property>
</Properties>
</file>